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hAnsi="宋体" w:eastAsia="仿宋_GB2312" w:cs="宋体"/>
          <w:color w:val="433F3F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color w:val="433F3F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433F3F"/>
          <w:kern w:val="0"/>
          <w:sz w:val="28"/>
          <w:szCs w:val="28"/>
        </w:rPr>
        <w:t>：</w:t>
      </w:r>
    </w:p>
    <w:p>
      <w:pPr>
        <w:spacing w:line="500" w:lineRule="exact"/>
        <w:jc w:val="center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教研室建设</w:t>
      </w:r>
      <w:r>
        <w:rPr>
          <w:rFonts w:hint="eastAsia" w:ascii="仿宋_GB2312" w:eastAsia="仿宋_GB2312"/>
          <w:b/>
          <w:sz w:val="36"/>
          <w:szCs w:val="36"/>
        </w:rPr>
        <w:t>标准</w:t>
      </w:r>
      <w:r>
        <w:rPr>
          <w:rFonts w:hint="eastAsia" w:ascii="仿宋_GB2312" w:eastAsia="仿宋_GB2312"/>
          <w:b/>
          <w:sz w:val="36"/>
          <w:szCs w:val="36"/>
          <w:lang w:eastAsia="zh-CN"/>
        </w:rPr>
        <w:t>（供参考）</w:t>
      </w:r>
    </w:p>
    <w:tbl>
      <w:tblPr>
        <w:tblStyle w:val="3"/>
        <w:tblW w:w="1404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10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Ⅰ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 Ⅱ</w:t>
            </w:r>
          </w:p>
        </w:tc>
        <w:tc>
          <w:tcPr>
            <w:tcW w:w="109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lang w:eastAsia="zh-CN"/>
              </w:rPr>
              <w:t>容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8"/>
              </w:rPr>
              <w:t xml:space="preserve">  要  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sz w:val="22"/>
              </w:rPr>
            </w:pPr>
            <w:r>
              <w:rPr>
                <w:rFonts w:hint="eastAsia" w:ascii="宋体" w:hAnsi="宋体" w:eastAsia="宋体" w:cs="宋体"/>
                <w:spacing w:val="-20"/>
                <w:sz w:val="22"/>
              </w:rPr>
              <w:t>组织与队伍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建 设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组织建设</w:t>
            </w:r>
          </w:p>
        </w:tc>
        <w:tc>
          <w:tcPr>
            <w:tcW w:w="10980" w:type="dxa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1.组织健全，岗位职责明确；</w:t>
            </w:r>
          </w:p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2.教研室各项工作落实好，圆满完成各项工作任务。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144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师资队伍建设</w:t>
            </w:r>
          </w:p>
        </w:tc>
        <w:tc>
          <w:tcPr>
            <w:tcW w:w="10980" w:type="dxa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3.自然状况，职称、学历、年龄、学缘结构合理；</w:t>
            </w:r>
          </w:p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4.教师开课能力与水平：高职称教师本科任课率100％，讲师以上教师开课情况保质保量；</w:t>
            </w:r>
          </w:p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5.教研科研水平：课程负责人职称、学术水平和教研成果；教师的教学成果与科研成果；</w:t>
            </w:r>
          </w:p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6.师资培养：有师资培养计划（重点对青年教师），培养计划执行有成效。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sz w:val="22"/>
              </w:rPr>
            </w:pPr>
            <w:r>
              <w:rPr>
                <w:rFonts w:hint="eastAsia" w:ascii="宋体" w:hAnsi="宋体" w:eastAsia="宋体" w:cs="宋体"/>
                <w:spacing w:val="-20"/>
                <w:sz w:val="22"/>
              </w:rPr>
              <w:t>教研室日常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管  理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widowControl/>
              <w:tabs>
                <w:tab w:val="left" w:pos="360"/>
              </w:tabs>
              <w:spacing w:line="3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2"/>
                <w:sz w:val="22"/>
                <w:szCs w:val="22"/>
              </w:rPr>
              <w:t>工作计划与总结</w:t>
            </w:r>
          </w:p>
        </w:tc>
        <w:tc>
          <w:tcPr>
            <w:tcW w:w="10980" w:type="dxa"/>
            <w:vAlign w:val="center"/>
          </w:tcPr>
          <w:p>
            <w:pPr>
              <w:ind w:leftChars="-1" w:hanging="2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1.教研室年度、学期工作计划与总结材料规范齐全；教研室工作计划得到落实；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tabs>
                <w:tab w:val="left" w:pos="360"/>
              </w:tabs>
              <w:spacing w:line="340" w:lineRule="exact"/>
              <w:ind w:left="357" w:hanging="357"/>
              <w:rPr>
                <w:rFonts w:hint="eastAsia" w:ascii="宋体" w:hAnsi="宋体" w:eastAsia="宋体" w:cs="宋体"/>
                <w:b/>
                <w:color w:val="00000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left" w:pos="360"/>
              </w:tabs>
              <w:spacing w:line="340" w:lineRule="exact"/>
              <w:ind w:left="357" w:hanging="357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会议与纪录</w:t>
            </w:r>
          </w:p>
        </w:tc>
        <w:tc>
          <w:tcPr>
            <w:tcW w:w="10980" w:type="dxa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2.定期召开会议，记录完整规范，内容符合要求；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tabs>
                <w:tab w:val="left" w:pos="360"/>
              </w:tabs>
              <w:spacing w:line="340" w:lineRule="exact"/>
              <w:ind w:left="357" w:hanging="357"/>
              <w:rPr>
                <w:rFonts w:hint="eastAsia" w:ascii="宋体" w:hAnsi="宋体" w:eastAsia="宋体" w:cs="宋体"/>
                <w:b/>
                <w:color w:val="00000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left" w:pos="360"/>
              </w:tabs>
              <w:spacing w:line="340" w:lineRule="exact"/>
              <w:ind w:left="357" w:hanging="357"/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文档管理</w:t>
            </w:r>
          </w:p>
        </w:tc>
        <w:tc>
          <w:tcPr>
            <w:tcW w:w="10980" w:type="dxa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3.各类教学文档资料（计划、试卷、文件等）分类整理，摆放整齐，管理规范。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教学工作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管理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pacing w:val="-20"/>
                <w:sz w:val="22"/>
              </w:rPr>
              <w:t>大纲管理与教材建设</w:t>
            </w:r>
          </w:p>
        </w:tc>
        <w:tc>
          <w:tcPr>
            <w:tcW w:w="10980" w:type="dxa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1.课程简介、教学大纲（理论教学与实验、实践教学）完整，不同学制学生使用不同版本教材和大纲；</w:t>
            </w:r>
          </w:p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2.修改大纲有报告、有说明，认真执行大纲并有保证措施；</w:t>
            </w:r>
          </w:p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3.使用国家统编教材或高质量教材（含实践教学教材），教材选用与评估制度运行好；</w:t>
            </w:r>
          </w:p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4.教材建设情况：参与规划教材或其他各类教材的编写情况。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教学运行</w:t>
            </w:r>
          </w:p>
        </w:tc>
        <w:tc>
          <w:tcPr>
            <w:tcW w:w="10980" w:type="dxa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5.学期开课明细清晰准确；教学计划表、教案与大纲一致；</w:t>
            </w:r>
          </w:p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6.严格执行课程进程计划，教学进程、任课名单变动经过批准，填写规范；</w:t>
            </w:r>
          </w:p>
          <w:p>
            <w:pPr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7.无擅自调课、停课，无迟到、提前下课等教学事故发生。</w:t>
            </w:r>
          </w:p>
        </w:tc>
      </w:tr>
    </w:tbl>
    <w:p>
      <w:pPr>
        <w:widowControl/>
        <w:rPr>
          <w:rFonts w:hint="eastAsia" w:ascii="仿宋" w:hAnsi="仿宋" w:eastAsia="仿宋" w:cs="仿宋"/>
          <w:color w:val="433F3F"/>
          <w:kern w:val="0"/>
          <w:sz w:val="28"/>
          <w:szCs w:val="28"/>
        </w:rPr>
        <w:sectPr>
          <w:pgSz w:w="16838" w:h="11906" w:orient="landscape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1404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10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黑体" w:eastAsia="黑体"/>
                <w:sz w:val="28"/>
                <w:szCs w:val="20"/>
              </w:rPr>
            </w:pPr>
            <w:r>
              <w:rPr>
                <w:rFonts w:hint="eastAsia" w:ascii="宋体" w:hAnsi="宋体" w:eastAsia="宋体" w:cs="宋体"/>
                <w:sz w:val="28"/>
              </w:rPr>
              <w:t>Ⅰ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eastAsia="黑体"/>
                <w:sz w:val="28"/>
                <w:szCs w:val="20"/>
              </w:rPr>
            </w:pPr>
            <w:r>
              <w:rPr>
                <w:rFonts w:hint="eastAsia" w:ascii="宋体" w:hAnsi="宋体" w:eastAsia="宋体" w:cs="宋体"/>
                <w:sz w:val="28"/>
              </w:rPr>
              <w:t>Ⅱ</w:t>
            </w:r>
          </w:p>
        </w:tc>
        <w:tc>
          <w:tcPr>
            <w:tcW w:w="10980" w:type="dxa"/>
            <w:vAlign w:val="center"/>
          </w:tcPr>
          <w:p>
            <w:pPr>
              <w:jc w:val="center"/>
              <w:rPr>
                <w:rFonts w:hint="eastAsia" w:ascii="黑体" w:eastAsia="黑体"/>
                <w:sz w:val="28"/>
                <w:szCs w:val="20"/>
              </w:rPr>
            </w:pPr>
            <w:r>
              <w:rPr>
                <w:rFonts w:hint="eastAsia" w:ascii="黑体" w:eastAsia="黑体"/>
                <w:sz w:val="28"/>
                <w:szCs w:val="20"/>
                <w:lang w:eastAsia="zh-CN"/>
              </w:rPr>
              <w:t>内</w:t>
            </w:r>
            <w:r>
              <w:rPr>
                <w:rFonts w:hint="eastAsia" w:ascii="黑体" w:eastAsia="黑体"/>
                <w:sz w:val="28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0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0"/>
                <w:lang w:eastAsia="zh-CN"/>
              </w:rPr>
              <w:t>容</w:t>
            </w:r>
            <w:r>
              <w:rPr>
                <w:rFonts w:hint="eastAsia" w:ascii="黑体" w:eastAsia="黑体"/>
                <w:sz w:val="28"/>
                <w:szCs w:val="20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0"/>
              </w:rPr>
              <w:t xml:space="preserve">要 </w:t>
            </w:r>
            <w:r>
              <w:rPr>
                <w:rFonts w:hint="eastAsia" w:ascii="黑体" w:eastAsia="黑体"/>
                <w:sz w:val="28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0"/>
              </w:rPr>
              <w:t>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1440" w:type="dxa"/>
            <w:vAlign w:val="center"/>
          </w:tcPr>
          <w:p>
            <w:pPr>
              <w:rPr>
                <w:rFonts w:hint="eastAsia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考试管理</w:t>
            </w:r>
          </w:p>
        </w:tc>
        <w:tc>
          <w:tcPr>
            <w:tcW w:w="10980" w:type="dxa"/>
            <w:vAlign w:val="center"/>
          </w:tcPr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9.根据教学大纲（结合题库、试卷库）命题；</w:t>
            </w:r>
          </w:p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10.试卷批阅及时、规范，保证质量，并进行有效分析，成绩登录无误；</w:t>
            </w:r>
          </w:p>
          <w:p>
            <w:pPr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11.考试试卷、答卷、试卷分析等材料规范存档，保存完整。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教研与教改工作</w:t>
            </w:r>
          </w:p>
          <w:p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widowControl/>
              <w:tabs>
                <w:tab w:val="left" w:pos="360"/>
              </w:tabs>
              <w:spacing w:line="300" w:lineRule="exact"/>
              <w:ind w:left="357" w:hanging="357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教研活动</w:t>
            </w:r>
          </w:p>
        </w:tc>
        <w:tc>
          <w:tcPr>
            <w:tcW w:w="10980" w:type="dxa"/>
            <w:vAlign w:val="center"/>
          </w:tcPr>
          <w:p>
            <w:pPr>
              <w:widowControl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1.认真开展集体备课、新教师试讲等活动；</w:t>
            </w:r>
          </w:p>
          <w:p>
            <w:pPr>
              <w:widowControl/>
              <w:spacing w:line="300" w:lineRule="exact"/>
              <w:ind w:left="110" w:hanging="110" w:hangingChars="50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sz w:val="22"/>
              </w:rPr>
              <w:t>2.教研室组织教学</w:t>
            </w:r>
            <w:r>
              <w:rPr>
                <w:rFonts w:hint="eastAsia" w:ascii="宋体" w:hAnsi="宋体"/>
                <w:color w:val="000000"/>
                <w:sz w:val="22"/>
              </w:rPr>
              <w:t>专题</w:t>
            </w:r>
            <w:r>
              <w:rPr>
                <w:rFonts w:hint="eastAsia"/>
                <w:sz w:val="22"/>
              </w:rPr>
              <w:t>（学习研讨、学术讲座、教学改革研究）活动，</w:t>
            </w:r>
            <w:r>
              <w:rPr>
                <w:rFonts w:hint="eastAsia" w:ascii="宋体" w:hAnsi="宋体"/>
                <w:color w:val="000000"/>
                <w:sz w:val="22"/>
              </w:rPr>
              <w:t>教研活动</w:t>
            </w:r>
            <w:r>
              <w:rPr>
                <w:rFonts w:hint="eastAsia"/>
                <w:sz w:val="22"/>
              </w:rPr>
              <w:t>定期</w:t>
            </w:r>
            <w:r>
              <w:rPr>
                <w:rFonts w:hint="eastAsia" w:ascii="宋体" w:hAnsi="宋体"/>
                <w:color w:val="000000"/>
                <w:sz w:val="22"/>
              </w:rPr>
              <w:t>开展，主题明确，记录完整，取得较好效果；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440" w:type="dxa"/>
            <w:vMerge w:val="continue"/>
            <w:vAlign w:val="center"/>
          </w:tcPr>
          <w:p>
            <w:pPr>
              <w:rPr>
                <w:rFonts w:hint="eastAsia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widowControl/>
              <w:tabs>
                <w:tab w:val="left" w:pos="360"/>
              </w:tabs>
              <w:spacing w:line="300" w:lineRule="exact"/>
              <w:ind w:left="357" w:hanging="357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课程内容改革</w:t>
            </w:r>
          </w:p>
        </w:tc>
        <w:tc>
          <w:tcPr>
            <w:tcW w:w="10980" w:type="dxa"/>
            <w:vAlign w:val="center"/>
          </w:tcPr>
          <w:p>
            <w:pPr>
              <w:widowControl/>
              <w:spacing w:line="300" w:lineRule="exact"/>
              <w:ind w:left="330" w:hanging="330" w:hangingChars="1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3.教学内容更新及时，实施有效果；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440" w:type="dxa"/>
            <w:vMerge w:val="continue"/>
            <w:vAlign w:val="center"/>
          </w:tcPr>
          <w:p>
            <w:pPr>
              <w:rPr>
                <w:rFonts w:hint="eastAsia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教学方法与手段改革</w:t>
            </w:r>
          </w:p>
        </w:tc>
        <w:tc>
          <w:tcPr>
            <w:tcW w:w="1098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4.课程教学积极采用启发式、研究式、讨论式等教学方法，取得良好效果；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440" w:type="dxa"/>
            <w:vMerge w:val="continue"/>
            <w:vAlign w:val="center"/>
          </w:tcPr>
          <w:p>
            <w:pPr>
              <w:rPr>
                <w:rFonts w:hint="eastAsia"/>
                <w:sz w:val="22"/>
              </w:rPr>
            </w:pPr>
          </w:p>
        </w:tc>
        <w:tc>
          <w:tcPr>
            <w:tcW w:w="1620" w:type="dxa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pacing w:val="-12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pacing w:val="-12"/>
                <w:sz w:val="22"/>
                <w:szCs w:val="22"/>
              </w:rPr>
              <w:t>教学研究与成果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980" w:type="dxa"/>
            <w:vAlign w:val="center"/>
          </w:tcPr>
          <w:p>
            <w:pPr>
              <w:spacing w:line="300" w:lineRule="exact"/>
              <w:ind w:left="220" w:hanging="220" w:hangingChars="100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5.教研室主持省级以上教学研究项目或结题或获奖，公开发表教学研究与教学管理论文。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教学质量与效果管理</w:t>
            </w:r>
          </w:p>
          <w:p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教学信息反馈</w:t>
            </w:r>
          </w:p>
          <w:p>
            <w:pPr>
              <w:spacing w:line="340" w:lineRule="exact"/>
              <w:jc w:val="center"/>
              <w:rPr>
                <w:rFonts w:hint="eastAsia"/>
                <w:sz w:val="22"/>
              </w:rPr>
            </w:pPr>
          </w:p>
        </w:tc>
        <w:tc>
          <w:tcPr>
            <w:tcW w:w="10980" w:type="dxa"/>
            <w:vAlign w:val="center"/>
          </w:tcPr>
          <w:p>
            <w:pPr>
              <w:spacing w:line="3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1.全面收集教学信息，及时反馈给教师和学生，及时解决教学存在的问题；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440" w:type="dxa"/>
            <w:vMerge w:val="continue"/>
            <w:vAlign w:val="center"/>
          </w:tcPr>
          <w:p>
            <w:pPr>
              <w:rPr>
                <w:rFonts w:hint="eastAsia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课堂教学检查</w:t>
            </w:r>
          </w:p>
          <w:p>
            <w:pPr>
              <w:spacing w:line="300" w:lineRule="exact"/>
              <w:jc w:val="center"/>
              <w:rPr>
                <w:rFonts w:hint="eastAsia"/>
                <w:sz w:val="22"/>
              </w:rPr>
            </w:pPr>
          </w:p>
        </w:tc>
        <w:tc>
          <w:tcPr>
            <w:tcW w:w="10980" w:type="dxa"/>
            <w:vAlign w:val="center"/>
          </w:tcPr>
          <w:p>
            <w:pPr>
              <w:spacing w:line="300" w:lineRule="exact"/>
              <w:ind w:left="330" w:hanging="330" w:hangingChars="150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/>
                <w:sz w:val="22"/>
              </w:rPr>
              <w:t>2.定期开展听评课、专项检查和抽查，检查材料和记录完整；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1440" w:type="dxa"/>
            <w:vMerge w:val="continue"/>
            <w:vAlign w:val="center"/>
          </w:tcPr>
          <w:p>
            <w:pPr>
              <w:rPr>
                <w:rFonts w:hint="eastAsia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/>
                <w:sz w:val="22"/>
              </w:rPr>
              <w:t>课程考核分析</w:t>
            </w:r>
          </w:p>
        </w:tc>
        <w:tc>
          <w:tcPr>
            <w:tcW w:w="10980" w:type="dxa"/>
            <w:vAlign w:val="center"/>
          </w:tcPr>
          <w:p>
            <w:pPr>
              <w:spacing w:line="300" w:lineRule="exact"/>
              <w:ind w:left="1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/>
                <w:sz w:val="22"/>
              </w:rPr>
              <w:t>3.</w:t>
            </w:r>
            <w:r>
              <w:rPr>
                <w:rFonts w:hint="eastAsia"/>
                <w:spacing w:val="-10"/>
                <w:sz w:val="22"/>
              </w:rPr>
              <w:t>命题难易度、题量、题型合理，与教学大纲要求一致；学生成绩呈正态分布。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5B18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