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方正小标宋_GBK" w:hAnsi="Calibri" w:eastAsia="方正小标宋_GBK" w:cs="Times New Roman"/>
          <w:sz w:val="44"/>
          <w:szCs w:val="44"/>
          <w:lang w:val="en-US" w:eastAsia="zh-CN"/>
        </w:rPr>
      </w:pPr>
      <w:bookmarkStart w:id="0" w:name="_GoBack"/>
      <w:bookmarkEnd w:id="0"/>
      <w:r>
        <w:rPr>
          <w:rFonts w:hint="eastAsia" w:ascii="方正小标宋_GBK" w:hAnsi="Calibri" w:eastAsia="方正小标宋_GBK" w:cs="Times New Roman"/>
          <w:sz w:val="44"/>
          <w:szCs w:val="44"/>
          <w:lang w:val="en-US" w:eastAsia="zh-CN"/>
        </w:rPr>
        <w:t>安徽艺术学院2021年度校级质量工程项目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方正小标宋_GBK" w:hAnsi="Calibri" w:eastAsia="方正小标宋_GBK" w:cs="Times New Roman"/>
          <w:sz w:val="44"/>
          <w:szCs w:val="44"/>
          <w:lang w:val="en-US" w:eastAsia="zh-CN"/>
        </w:rPr>
      </w:pPr>
      <w:r>
        <w:rPr>
          <w:rFonts w:hint="eastAsia" w:ascii="方正小标宋_GBK" w:hAnsi="Calibri" w:eastAsia="方正小标宋_GBK" w:cs="Times New Roman"/>
          <w:sz w:val="44"/>
          <w:szCs w:val="44"/>
          <w:lang w:val="en-US" w:eastAsia="zh-CN"/>
        </w:rPr>
        <w:t>优质课程建设申报指南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方正小标宋_GBK" w:hAnsi="Calibri" w:eastAsia="方正小标宋_GBK" w:cs="Times New Roman"/>
          <w:sz w:val="18"/>
          <w:szCs w:val="18"/>
          <w:lang w:val="en-US" w:eastAsia="zh-CN"/>
        </w:rPr>
      </w:pPr>
    </w:p>
    <w:p>
      <w:pPr>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baseline"/>
        <w:rPr>
          <w:rStyle w:val="11"/>
          <w:rFonts w:hint="eastAsia" w:ascii="仿宋" w:hAnsi="仿宋" w:eastAsia="仿宋" w:cs="仿宋"/>
          <w:b w:val="0"/>
          <w:i w:val="0"/>
          <w:caps w:val="0"/>
          <w:spacing w:val="0"/>
          <w:w w:val="100"/>
          <w:kern w:val="2"/>
          <w:sz w:val="32"/>
          <w:szCs w:val="32"/>
          <w:lang w:val="en-US" w:eastAsia="zh-CN" w:bidi="ar-SA"/>
        </w:rPr>
      </w:pPr>
      <w:r>
        <w:rPr>
          <w:rStyle w:val="11"/>
          <w:rFonts w:hint="eastAsia" w:ascii="仿宋" w:hAnsi="仿宋" w:eastAsia="仿宋" w:cs="仿宋"/>
          <w:b w:val="0"/>
          <w:i w:val="0"/>
          <w:caps w:val="0"/>
          <w:spacing w:val="0"/>
          <w:w w:val="100"/>
          <w:kern w:val="2"/>
          <w:sz w:val="32"/>
          <w:szCs w:val="32"/>
          <w:lang w:val="en-US" w:eastAsia="zh-CN" w:bidi="ar-SA"/>
        </w:rPr>
        <w:t>课程建设是学校教学基本建设的重要内容之一，是教学工作逐步走向规范化的重要措施，是提高教学质量的重要环节，是搞好专业建设的基础工作。为了进一步提高课程教学效果，实现人才培养目标，学校决定开展校级质量工程项目——优质课程建设项目。</w:t>
      </w:r>
    </w:p>
    <w:p>
      <w:pPr>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baseline"/>
        <w:rPr>
          <w:rStyle w:val="11"/>
          <w:rFonts w:hint="eastAsia" w:ascii="仿宋" w:hAnsi="仿宋" w:eastAsia="仿宋" w:cs="仿宋"/>
          <w:b w:val="0"/>
          <w:i w:val="0"/>
          <w:caps w:val="0"/>
          <w:spacing w:val="0"/>
          <w:w w:val="100"/>
          <w:kern w:val="2"/>
          <w:sz w:val="32"/>
          <w:szCs w:val="32"/>
          <w:lang w:val="en-US" w:eastAsia="zh-CN" w:bidi="ar-SA"/>
        </w:rPr>
      </w:pPr>
      <w:r>
        <w:rPr>
          <w:rStyle w:val="11"/>
          <w:rFonts w:hint="eastAsia" w:ascii="仿宋" w:hAnsi="仿宋" w:eastAsia="仿宋" w:cs="仿宋"/>
          <w:b w:val="0"/>
          <w:i w:val="0"/>
          <w:caps w:val="0"/>
          <w:spacing w:val="0"/>
          <w:w w:val="100"/>
          <w:kern w:val="2"/>
          <w:sz w:val="32"/>
          <w:szCs w:val="32"/>
          <w:lang w:val="en-US" w:eastAsia="zh-CN" w:bidi="ar-SA"/>
        </w:rPr>
        <w:t>校级优质课程建设项目包括三类：线上优质课程，线下优质课程，课程思政示范课程。</w:t>
      </w:r>
    </w:p>
    <w:p>
      <w:pPr>
        <w:pStyle w:val="14"/>
        <w:keepLines/>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11"/>
          <w:rFonts w:hint="eastAsia" w:ascii="仿宋" w:hAnsi="仿宋" w:eastAsia="仿宋" w:cs="仿宋"/>
          <w:b/>
          <w:i w:val="0"/>
          <w:caps w:val="0"/>
          <w:color w:val="000000"/>
          <w:spacing w:val="0"/>
          <w:w w:val="100"/>
          <w:kern w:val="2"/>
          <w:sz w:val="32"/>
          <w:szCs w:val="32"/>
          <w:lang w:val="en-US" w:eastAsia="zh-CN" w:bidi="ar-SA"/>
        </w:rPr>
      </w:pPr>
      <w:r>
        <w:rPr>
          <w:rStyle w:val="11"/>
          <w:rFonts w:hint="eastAsia" w:ascii="仿宋" w:hAnsi="仿宋" w:eastAsia="仿宋" w:cs="仿宋"/>
          <w:b/>
          <w:i w:val="0"/>
          <w:caps w:val="0"/>
          <w:color w:val="000000"/>
          <w:spacing w:val="0"/>
          <w:w w:val="100"/>
          <w:kern w:val="2"/>
          <w:sz w:val="32"/>
          <w:szCs w:val="32"/>
          <w:lang w:val="en-US" w:eastAsia="zh-CN" w:bidi="ar-SA"/>
        </w:rPr>
        <w:t>建设目标</w:t>
      </w:r>
    </w:p>
    <w:p>
      <w:pPr>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i w:val="0"/>
          <w:caps w:val="0"/>
          <w:spacing w:val="0"/>
          <w:w w:val="100"/>
          <w:kern w:val="2"/>
          <w:sz w:val="32"/>
          <w:szCs w:val="32"/>
          <w:lang w:val="en-US" w:eastAsia="zh-CN" w:bidi="ar-SA"/>
        </w:rPr>
      </w:pPr>
      <w:r>
        <w:rPr>
          <w:rStyle w:val="11"/>
          <w:rFonts w:hint="eastAsia" w:ascii="仿宋" w:hAnsi="仿宋" w:eastAsia="仿宋" w:cs="仿宋"/>
          <w:b w:val="0"/>
          <w:i w:val="0"/>
          <w:caps w:val="0"/>
          <w:color w:val="000000"/>
          <w:spacing w:val="0"/>
          <w:w w:val="100"/>
          <w:kern w:val="0"/>
          <w:sz w:val="32"/>
          <w:szCs w:val="32"/>
          <w:lang w:val="en-US" w:eastAsia="zh-CN"/>
        </w:rPr>
        <w:t>以立德树人为根本任务，以教书育人为立足点，以学生的发展为中心，全面开展优质课程建设，树立课程建设新理念，推进课程改革创新，拓展教学时空、丰富教学内容、创新教学活动、变革教学手段、改进教学方法，优化教学资源共享，提高课堂教学质量，实施科学课程评价，严格课程管理，提高教师教学能力，完善以质量为导向的课程建设激励机制，形成多类型、多样化的教学内容与课程体系，倾力打造“金课”。</w:t>
      </w:r>
    </w:p>
    <w:p>
      <w:pPr>
        <w:pStyle w:val="14"/>
        <w:keepLines/>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11"/>
          <w:rFonts w:hint="eastAsia" w:ascii="仿宋" w:hAnsi="仿宋" w:eastAsia="仿宋" w:cs="仿宋"/>
          <w:b/>
          <w:i w:val="0"/>
          <w:caps w:val="0"/>
          <w:color w:val="000000"/>
          <w:spacing w:val="0"/>
          <w:w w:val="100"/>
          <w:kern w:val="2"/>
          <w:sz w:val="32"/>
          <w:szCs w:val="32"/>
          <w:lang w:val="en-US" w:eastAsia="zh-CN" w:bidi="ar-SA"/>
        </w:rPr>
      </w:pPr>
      <w:r>
        <w:rPr>
          <w:rStyle w:val="11"/>
          <w:rFonts w:hint="eastAsia" w:ascii="仿宋" w:hAnsi="仿宋" w:eastAsia="仿宋" w:cs="仿宋"/>
          <w:b/>
          <w:i w:val="0"/>
          <w:caps w:val="0"/>
          <w:color w:val="000000"/>
          <w:spacing w:val="0"/>
          <w:w w:val="100"/>
          <w:kern w:val="2"/>
          <w:sz w:val="32"/>
          <w:szCs w:val="32"/>
          <w:lang w:val="en-US" w:eastAsia="zh-CN" w:bidi="ar-SA"/>
        </w:rPr>
        <w:t>建设内容</w:t>
      </w:r>
    </w:p>
    <w:p>
      <w:pPr>
        <w:pageBreakBefore w:val="0"/>
        <w:widowControl/>
        <w:kinsoku/>
        <w:wordWrap/>
        <w:overflowPunct/>
        <w:topLinePunct w:val="0"/>
        <w:autoSpaceDE/>
        <w:autoSpaceDN/>
        <w:bidi w:val="0"/>
        <w:adjustRightInd/>
        <w:snapToGrid/>
        <w:spacing w:beforeAutospacing="0" w:after="0" w:afterAutospacing="0" w:line="240" w:lineRule="auto"/>
        <w:jc w:val="both"/>
        <w:textAlignment w:val="baseline"/>
        <w:rPr>
          <w:rStyle w:val="11"/>
          <w:rFonts w:hint="eastAsia" w:ascii="仿宋" w:hAnsi="仿宋" w:eastAsia="仿宋" w:cs="仿宋"/>
          <w:b w:val="0"/>
          <w:i w:val="0"/>
          <w:caps w:val="0"/>
          <w:color w:val="000000"/>
          <w:spacing w:val="0"/>
          <w:w w:val="100"/>
          <w:kern w:val="0"/>
          <w:sz w:val="32"/>
          <w:szCs w:val="32"/>
          <w:lang w:val="en-US" w:eastAsia="zh-CN" w:bidi="ar-SA"/>
        </w:rPr>
      </w:pPr>
      <w:r>
        <w:rPr>
          <w:rStyle w:val="11"/>
          <w:rFonts w:hint="eastAsia" w:ascii="仿宋" w:hAnsi="仿宋" w:eastAsia="仿宋" w:cs="仿宋"/>
          <w:b/>
          <w:i w:val="0"/>
          <w:caps w:val="0"/>
          <w:color w:val="000000"/>
          <w:spacing w:val="0"/>
          <w:w w:val="100"/>
          <w:kern w:val="2"/>
          <w:sz w:val="32"/>
          <w:szCs w:val="32"/>
          <w:lang w:val="en-US" w:eastAsia="zh-CN" w:bidi="ar-SA"/>
        </w:rPr>
        <w:t xml:space="preserve"> </w:t>
      </w:r>
      <w:r>
        <w:rPr>
          <w:rStyle w:val="11"/>
          <w:rFonts w:hint="eastAsia" w:ascii="仿宋" w:hAnsi="仿宋" w:eastAsia="仿宋" w:cs="仿宋"/>
          <w:b/>
          <w:bCs/>
          <w:i w:val="0"/>
          <w:caps w:val="0"/>
          <w:color w:val="000000"/>
          <w:spacing w:val="0"/>
          <w:w w:val="100"/>
          <w:kern w:val="0"/>
          <w:sz w:val="32"/>
          <w:szCs w:val="32"/>
          <w:lang w:val="en-US" w:eastAsia="zh-CN" w:bidi="ar-SA"/>
        </w:rPr>
        <w:t xml:space="preserve">   1、线上优质课程。</w:t>
      </w:r>
      <w:r>
        <w:rPr>
          <w:rStyle w:val="11"/>
          <w:rFonts w:hint="eastAsia" w:ascii="仿宋" w:hAnsi="仿宋" w:eastAsia="仿宋" w:cs="仿宋"/>
          <w:b w:val="0"/>
          <w:i w:val="0"/>
          <w:caps w:val="0"/>
          <w:color w:val="000000"/>
          <w:spacing w:val="0"/>
          <w:w w:val="100"/>
          <w:kern w:val="0"/>
          <w:sz w:val="32"/>
          <w:szCs w:val="32"/>
          <w:lang w:val="en-US" w:eastAsia="zh-CN" w:bidi="ar-SA"/>
        </w:rPr>
        <w:t>课程基于MOOC课程特性进行建设。需对现有课程教学设计、单元内容、知识结构、课程资源、评价体系等进行改革，以符合大规模网络教学特征。视频内容按问题组织知识点，以知识点进行资源建设，注重以学生为中心建立教与学新型关系，注重学生批判性思维、合作能力、解决复杂问题能力的培育。</w:t>
      </w:r>
    </w:p>
    <w:p>
      <w:pPr>
        <w:pageBreakBefore w:val="0"/>
        <w:widowControl/>
        <w:kinsoku/>
        <w:wordWrap/>
        <w:overflowPunct/>
        <w:topLinePunct w:val="0"/>
        <w:autoSpaceDE/>
        <w:autoSpaceDN/>
        <w:bidi w:val="0"/>
        <w:adjustRightInd/>
        <w:snapToGrid/>
        <w:spacing w:beforeAutospacing="0" w:after="0" w:afterAutospacing="0" w:line="240" w:lineRule="auto"/>
        <w:ind w:firstLine="560"/>
        <w:jc w:val="both"/>
        <w:textAlignment w:val="baseline"/>
        <w:rPr>
          <w:rStyle w:val="11"/>
          <w:rFonts w:hint="eastAsia" w:ascii="仿宋" w:hAnsi="仿宋" w:eastAsia="仿宋" w:cs="仿宋"/>
          <w:b w:val="0"/>
          <w:i w:val="0"/>
          <w:caps w:val="0"/>
          <w:color w:val="000000"/>
          <w:spacing w:val="0"/>
          <w:w w:val="100"/>
          <w:kern w:val="0"/>
          <w:sz w:val="32"/>
          <w:szCs w:val="32"/>
          <w:lang w:val="en-US" w:eastAsia="zh-CN" w:bidi="ar-SA"/>
        </w:rPr>
      </w:pPr>
      <w:r>
        <w:rPr>
          <w:rStyle w:val="11"/>
          <w:rFonts w:hint="eastAsia" w:ascii="仿宋" w:hAnsi="仿宋" w:eastAsia="仿宋" w:cs="仿宋"/>
          <w:b/>
          <w:bCs/>
          <w:i w:val="0"/>
          <w:caps w:val="0"/>
          <w:color w:val="000000"/>
          <w:spacing w:val="0"/>
          <w:w w:val="100"/>
          <w:kern w:val="0"/>
          <w:sz w:val="32"/>
          <w:szCs w:val="32"/>
          <w:lang w:val="en-US" w:eastAsia="zh-CN" w:bidi="ar-SA"/>
        </w:rPr>
        <w:t>2、线下优质课程。</w:t>
      </w:r>
      <w:r>
        <w:rPr>
          <w:rStyle w:val="11"/>
          <w:rFonts w:hint="eastAsia" w:ascii="仿宋" w:hAnsi="仿宋" w:eastAsia="仿宋" w:cs="仿宋"/>
          <w:b w:val="0"/>
          <w:i w:val="0"/>
          <w:caps w:val="0"/>
          <w:color w:val="000000"/>
          <w:spacing w:val="0"/>
          <w:w w:val="100"/>
          <w:kern w:val="0"/>
          <w:sz w:val="32"/>
          <w:szCs w:val="32"/>
          <w:lang w:val="en-US" w:eastAsia="zh-CN" w:bidi="ar-SA"/>
        </w:rPr>
        <w:t>利用开放式课程教育平台优质课程资源，通过校级网络教学平台及智慧教学工具，实施翻转课堂教学，促进教育教学观念转变，引领教学内容和教学方法改革，实现学校优质课程教学资源通过现代信息技术手段共建共享。</w:t>
      </w:r>
    </w:p>
    <w:p>
      <w:pPr>
        <w:pageBreakBefore w:val="0"/>
        <w:widowControl/>
        <w:kinsoku/>
        <w:wordWrap/>
        <w:overflowPunct/>
        <w:topLinePunct w:val="0"/>
        <w:autoSpaceDE/>
        <w:autoSpaceDN/>
        <w:bidi w:val="0"/>
        <w:adjustRightInd/>
        <w:snapToGrid/>
        <w:spacing w:beforeAutospacing="0" w:after="0" w:afterAutospacing="0" w:line="240" w:lineRule="auto"/>
        <w:ind w:firstLine="560"/>
        <w:jc w:val="both"/>
        <w:textAlignment w:val="baseline"/>
        <w:rPr>
          <w:rStyle w:val="11"/>
          <w:rFonts w:hint="eastAsia" w:ascii="仿宋" w:hAnsi="仿宋" w:eastAsia="仿宋" w:cs="仿宋"/>
          <w:b w:val="0"/>
          <w:i w:val="0"/>
          <w:caps w:val="0"/>
          <w:color w:val="000000"/>
          <w:spacing w:val="0"/>
          <w:w w:val="100"/>
          <w:kern w:val="0"/>
          <w:sz w:val="32"/>
          <w:szCs w:val="32"/>
          <w:lang w:val="en-US" w:eastAsia="zh-CN"/>
        </w:rPr>
      </w:pPr>
      <w:r>
        <w:rPr>
          <w:rStyle w:val="11"/>
          <w:rFonts w:hint="eastAsia" w:ascii="仿宋" w:hAnsi="仿宋" w:eastAsia="仿宋" w:cs="仿宋"/>
          <w:b/>
          <w:bCs/>
          <w:i w:val="0"/>
          <w:caps w:val="0"/>
          <w:color w:val="000000"/>
          <w:spacing w:val="0"/>
          <w:w w:val="100"/>
          <w:kern w:val="2"/>
          <w:sz w:val="32"/>
          <w:szCs w:val="32"/>
          <w:lang w:val="en-US" w:eastAsia="zh-CN" w:bidi="ar-SA"/>
        </w:rPr>
        <w:t>3、课程思政示范课程。</w:t>
      </w:r>
      <w:r>
        <w:rPr>
          <w:rStyle w:val="11"/>
          <w:rFonts w:hint="eastAsia" w:ascii="仿宋" w:hAnsi="仿宋" w:eastAsia="仿宋" w:cs="仿宋"/>
          <w:b w:val="0"/>
          <w:i w:val="0"/>
          <w:caps w:val="0"/>
          <w:color w:val="000000"/>
          <w:spacing w:val="0"/>
          <w:w w:val="100"/>
          <w:kern w:val="0"/>
          <w:sz w:val="32"/>
          <w:szCs w:val="32"/>
          <w:lang w:val="en-US" w:eastAsia="zh-CN" w:bidi="ar-SA"/>
        </w:rPr>
        <w:t>遵循思想政治工作规律、教书育人规律和学生成长规律，坚持以学生为中心，把握学生思想特点和发展需求。深入挖掘拓展课程蕴含的思想政治元素，发挥课程的思想政治教育功能，科学设计课程思政教育内容与教学形式，坚持把思想政治工作贯穿教育教学全过程，努力实现知识传授、能力培养与价值塑造的有机统一，着力培养具有责任担当的高素质应用型人才。</w:t>
      </w:r>
    </w:p>
    <w:p>
      <w:pPr>
        <w:pStyle w:val="14"/>
        <w:keepLines/>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11"/>
          <w:rFonts w:hint="eastAsia" w:ascii="仿宋" w:hAnsi="仿宋" w:eastAsia="仿宋" w:cs="仿宋"/>
          <w:b/>
          <w:i w:val="0"/>
          <w:caps w:val="0"/>
          <w:color w:val="000000"/>
          <w:spacing w:val="0"/>
          <w:w w:val="100"/>
          <w:kern w:val="2"/>
          <w:sz w:val="32"/>
          <w:szCs w:val="32"/>
          <w:lang w:val="en-US" w:eastAsia="zh-CN" w:bidi="ar-SA"/>
        </w:rPr>
      </w:pPr>
      <w:r>
        <w:rPr>
          <w:rStyle w:val="11"/>
          <w:rFonts w:hint="eastAsia" w:ascii="仿宋" w:hAnsi="仿宋" w:eastAsia="仿宋" w:cs="仿宋"/>
          <w:b/>
          <w:i w:val="0"/>
          <w:caps w:val="0"/>
          <w:color w:val="000000"/>
          <w:spacing w:val="0"/>
          <w:w w:val="100"/>
          <w:kern w:val="2"/>
          <w:sz w:val="32"/>
          <w:szCs w:val="32"/>
          <w:lang w:val="en-US" w:eastAsia="zh-CN" w:bidi="ar-SA"/>
        </w:rPr>
        <w:t>申报范围与要求</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i w:val="0"/>
          <w:caps w:val="0"/>
          <w:color w:val="000000"/>
          <w:spacing w:val="0"/>
          <w:w w:val="100"/>
          <w:kern w:val="0"/>
          <w:sz w:val="32"/>
          <w:szCs w:val="32"/>
          <w:lang w:val="en-US" w:eastAsia="zh-CN"/>
        </w:rPr>
      </w:pPr>
      <w:r>
        <w:rPr>
          <w:rStyle w:val="11"/>
          <w:rFonts w:hint="eastAsia" w:ascii="仿宋" w:hAnsi="仿宋" w:eastAsia="仿宋" w:cs="仿宋"/>
          <w:b w:val="0"/>
          <w:i w:val="0"/>
          <w:caps w:val="0"/>
          <w:color w:val="000000"/>
          <w:spacing w:val="0"/>
          <w:w w:val="100"/>
          <w:kern w:val="0"/>
          <w:sz w:val="32"/>
          <w:szCs w:val="32"/>
          <w:lang w:val="en-US" w:eastAsia="zh-CN"/>
        </w:rPr>
        <w:t>申报课程必须是我校各专业人才培养方案中所设置课程。鼓</w:t>
      </w:r>
      <w:r>
        <w:rPr>
          <w:rStyle w:val="11"/>
          <w:rFonts w:hint="eastAsia" w:ascii="仿宋" w:hAnsi="仿宋" w:eastAsia="仿宋" w:cs="仿宋"/>
          <w:b w:val="0"/>
          <w:bCs w:val="0"/>
          <w:i w:val="0"/>
          <w:caps w:val="0"/>
          <w:color w:val="000000"/>
          <w:spacing w:val="0"/>
          <w:w w:val="100"/>
          <w:kern w:val="0"/>
          <w:sz w:val="32"/>
          <w:szCs w:val="32"/>
          <w:lang w:val="en-US" w:eastAsia="zh-CN"/>
        </w:rPr>
        <w:t>励量大面广的公</w:t>
      </w:r>
      <w:r>
        <w:rPr>
          <w:rStyle w:val="11"/>
          <w:rFonts w:hint="eastAsia" w:ascii="仿宋" w:hAnsi="仿宋" w:eastAsia="仿宋" w:cs="仿宋"/>
          <w:b w:val="0"/>
          <w:i w:val="0"/>
          <w:caps w:val="0"/>
          <w:color w:val="000000"/>
          <w:spacing w:val="0"/>
          <w:w w:val="100"/>
          <w:kern w:val="0"/>
          <w:sz w:val="32"/>
          <w:szCs w:val="32"/>
          <w:lang w:val="en-US" w:eastAsia="zh-CN"/>
        </w:rPr>
        <w:t>共基础课、专业基础课、专业核心课申报，鼓励应用适当的数字化教学工具等信息化技术的线上线下混合式课程申报。其中课程思政示范课程仅限公共基础课程、专业基础课程</w:t>
      </w:r>
      <w:r>
        <w:rPr>
          <w:rStyle w:val="11"/>
          <w:rFonts w:hint="eastAsia" w:ascii="仿宋" w:hAnsi="仿宋" w:eastAsia="仿宋" w:cs="仿宋"/>
          <w:b w:val="0"/>
          <w:i w:val="0"/>
          <w:caps w:val="0"/>
          <w:color w:val="C00000"/>
          <w:spacing w:val="0"/>
          <w:w w:val="100"/>
          <w:kern w:val="0"/>
          <w:sz w:val="32"/>
          <w:szCs w:val="32"/>
          <w:lang w:val="en-US" w:eastAsia="zh-CN"/>
        </w:rPr>
        <w:t>、</w:t>
      </w:r>
      <w:r>
        <w:rPr>
          <w:rStyle w:val="11"/>
          <w:rFonts w:hint="eastAsia" w:ascii="仿宋" w:hAnsi="仿宋" w:eastAsia="仿宋" w:cs="仿宋"/>
          <w:b w:val="0"/>
          <w:i w:val="0"/>
          <w:caps w:val="0"/>
          <w:color w:val="000000"/>
          <w:spacing w:val="0"/>
          <w:w w:val="100"/>
          <w:kern w:val="0"/>
          <w:sz w:val="32"/>
          <w:szCs w:val="32"/>
          <w:lang w:val="en-US" w:eastAsia="zh-CN"/>
        </w:rPr>
        <w:t>专业核心课程申报。</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i w:val="0"/>
          <w:caps w:val="0"/>
          <w:color w:val="000000"/>
          <w:spacing w:val="0"/>
          <w:w w:val="100"/>
          <w:kern w:val="0"/>
          <w:sz w:val="32"/>
          <w:szCs w:val="32"/>
          <w:lang w:val="en-US" w:eastAsia="zh-CN" w:bidi="ar-SA"/>
        </w:rPr>
      </w:pPr>
      <w:r>
        <w:rPr>
          <w:rStyle w:val="11"/>
          <w:rFonts w:hint="eastAsia" w:ascii="仿宋" w:hAnsi="仿宋" w:eastAsia="仿宋" w:cs="仿宋"/>
          <w:b w:val="0"/>
          <w:i w:val="0"/>
          <w:caps w:val="0"/>
          <w:color w:val="000000"/>
          <w:spacing w:val="0"/>
          <w:w w:val="100"/>
          <w:kern w:val="0"/>
          <w:sz w:val="32"/>
          <w:szCs w:val="32"/>
          <w:lang w:val="en-US" w:eastAsia="zh-CN" w:bidi="ar-SA"/>
        </w:rPr>
        <w:t>申报课程应在我校已连续开设 2 个学期以上。</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i w:val="0"/>
          <w:caps w:val="0"/>
          <w:color w:val="000000"/>
          <w:spacing w:val="0"/>
          <w:w w:val="100"/>
          <w:kern w:val="0"/>
          <w:sz w:val="32"/>
          <w:szCs w:val="32"/>
          <w:lang w:val="en-US" w:eastAsia="zh-CN" w:bidi="ar-SA"/>
        </w:rPr>
      </w:pPr>
      <w:r>
        <w:rPr>
          <w:rStyle w:val="11"/>
          <w:rFonts w:hint="eastAsia" w:ascii="仿宋" w:hAnsi="仿宋" w:eastAsia="仿宋" w:cs="仿宋"/>
          <w:b w:val="0"/>
          <w:i w:val="0"/>
          <w:caps w:val="0"/>
          <w:color w:val="000000"/>
          <w:spacing w:val="0"/>
          <w:w w:val="100"/>
          <w:kern w:val="0"/>
          <w:sz w:val="32"/>
          <w:szCs w:val="32"/>
          <w:lang w:val="en-US" w:eastAsia="zh-CN" w:bidi="ar-SA"/>
        </w:rPr>
        <w:t>“线上优质课程课程”、“线下优质课程课程”负责人须为具有副教授及以上职称或博士学位的本校专任教师（安徽艺术学院成立以来，教学考核优秀教师不受此条件限制）。</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i w:val="0"/>
          <w:caps w:val="0"/>
          <w:color w:val="000000"/>
          <w:spacing w:val="0"/>
          <w:w w:val="100"/>
          <w:kern w:val="0"/>
          <w:sz w:val="32"/>
          <w:szCs w:val="32"/>
          <w:lang w:val="en-US" w:eastAsia="zh-CN" w:bidi="ar-SA"/>
        </w:rPr>
        <w:t>“课程思政示范课程”实行“双负责人制”，项目负责人应为各教学单位党总支书记（副书记）或党支部书记，课程负责人应为申报课程的主讲教师。项目负责人须为具有讲师及以上职称或硕士学位（安徽艺术学院成立以来，教学考核优秀教师不受此条件限制）。项目要充分发挥党员在课程思政建设中的作用，打造高质量课程思政示范课程。高校各教学单位原则上要安排高层次人才担当课程负责人，要集合本单位内外专家、企事业单位精英、知名校友等高层次人才组成课程团队共建课程，注重课内课外一体化融合设计，切实提高课程的育人影响力。课程团队成员要能确保投入足够时间和精力到课程建设中，真正成为学生成长的领路人。</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bCs w:val="0"/>
          <w:i w:val="0"/>
          <w:caps w:val="0"/>
          <w:color w:val="000000"/>
          <w:spacing w:val="0"/>
          <w:w w:val="100"/>
          <w:kern w:val="0"/>
          <w:sz w:val="32"/>
          <w:szCs w:val="32"/>
          <w:lang w:val="en-US" w:eastAsia="zh-CN" w:bidi="ar-SA"/>
        </w:rPr>
        <w:t>申报课程所涉及的课程负责人及团队主要成员采取限项申报原则，有各级课程类在研项目的负责人不得申报，其他教师每年限报一门课程（含团队主要成员）。</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bCs w:val="0"/>
          <w:i w:val="0"/>
          <w:caps w:val="0"/>
          <w:color w:val="000000"/>
          <w:spacing w:val="0"/>
          <w:w w:val="100"/>
          <w:kern w:val="0"/>
          <w:sz w:val="32"/>
          <w:szCs w:val="32"/>
          <w:lang w:val="en-US" w:eastAsia="zh-CN" w:bidi="ar-SA"/>
        </w:rPr>
        <w:t>课程负责人要承诺申报材料的真实性，课程内容规范完整，体现前沿性和时代性，反映学科专业最新发展成果和教改教研成果，具有较高的科学性，内容更新和完善及时。无危害国家安全、涉密及其他不适宜网络公开传播的内容，引用的课程资源要注明来源，无侵犯他人知识产权内容。</w:t>
      </w:r>
    </w:p>
    <w:p>
      <w:pPr>
        <w:pageBreakBefore w:val="0"/>
        <w:widowControl/>
        <w:numPr>
          <w:ilvl w:val="0"/>
          <w:numId w:val="2"/>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bCs w:val="0"/>
          <w:i w:val="0"/>
          <w:caps w:val="0"/>
          <w:color w:val="000000"/>
          <w:spacing w:val="0"/>
          <w:w w:val="100"/>
          <w:kern w:val="0"/>
          <w:sz w:val="32"/>
          <w:szCs w:val="32"/>
          <w:lang w:val="en-US" w:eastAsia="zh-CN" w:bidi="ar-SA"/>
        </w:rPr>
        <w:t>以上三种类型申报资格条件中，教学质量考核排名前百分之十的教师，不受职称限制。</w:t>
      </w:r>
    </w:p>
    <w:p>
      <w:pPr>
        <w:pStyle w:val="14"/>
        <w:keepLines/>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11"/>
          <w:rFonts w:hint="eastAsia" w:ascii="仿宋" w:hAnsi="仿宋" w:eastAsia="仿宋" w:cs="仿宋"/>
          <w:b/>
          <w:i w:val="0"/>
          <w:caps w:val="0"/>
          <w:color w:val="000000"/>
          <w:spacing w:val="0"/>
          <w:w w:val="100"/>
          <w:kern w:val="2"/>
          <w:sz w:val="32"/>
          <w:szCs w:val="32"/>
          <w:lang w:val="en-US" w:eastAsia="zh-CN" w:bidi="ar-SA"/>
        </w:rPr>
      </w:pPr>
      <w:r>
        <w:rPr>
          <w:rStyle w:val="11"/>
          <w:rFonts w:hint="eastAsia" w:ascii="仿宋" w:hAnsi="仿宋" w:eastAsia="仿宋" w:cs="仿宋"/>
          <w:b/>
          <w:i w:val="0"/>
          <w:caps w:val="0"/>
          <w:color w:val="000000"/>
          <w:spacing w:val="0"/>
          <w:w w:val="100"/>
          <w:kern w:val="2"/>
          <w:sz w:val="32"/>
          <w:szCs w:val="32"/>
          <w:lang w:val="en-US" w:eastAsia="zh-CN" w:bidi="ar-SA"/>
        </w:rPr>
        <w:t>课程建设与验收</w:t>
      </w:r>
    </w:p>
    <w:p>
      <w:pPr>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i w:val="0"/>
          <w:caps w:val="0"/>
          <w:color w:val="000000"/>
          <w:spacing w:val="0"/>
          <w:w w:val="100"/>
          <w:kern w:val="0"/>
          <w:sz w:val="32"/>
          <w:szCs w:val="32"/>
          <w:lang w:val="en-US" w:eastAsia="zh-CN"/>
        </w:rPr>
        <w:t>课程建设周期</w:t>
      </w:r>
      <w:r>
        <w:rPr>
          <w:rStyle w:val="11"/>
          <w:rFonts w:hint="eastAsia" w:ascii="仿宋" w:hAnsi="仿宋" w:eastAsia="仿宋" w:cs="仿宋"/>
          <w:b w:val="0"/>
          <w:bCs w:val="0"/>
          <w:i w:val="0"/>
          <w:caps w:val="0"/>
          <w:color w:val="000000"/>
          <w:spacing w:val="0"/>
          <w:w w:val="100"/>
          <w:kern w:val="0"/>
          <w:sz w:val="32"/>
          <w:szCs w:val="32"/>
          <w:lang w:val="en-US" w:eastAsia="zh-CN" w:bidi="ar-SA"/>
        </w:rPr>
        <w:t>为两年。课程须至少经过2个学期的建设与完善， 并取得实质性改革成效，在同</w:t>
      </w:r>
      <w:r>
        <w:rPr>
          <w:rStyle w:val="11"/>
          <w:rFonts w:hint="eastAsia" w:ascii="仿宋" w:hAnsi="仿宋" w:eastAsia="仿宋" w:cs="仿宋"/>
          <w:b w:val="0"/>
          <w:i w:val="0"/>
          <w:caps w:val="0"/>
          <w:color w:val="000000"/>
          <w:spacing w:val="0"/>
          <w:w w:val="100"/>
          <w:kern w:val="0"/>
          <w:sz w:val="32"/>
          <w:szCs w:val="32"/>
          <w:lang w:val="en-US" w:eastAsia="zh-CN"/>
        </w:rPr>
        <w:t>类课程中具有鲜明特色、良好的教学效果，并承诺结项后 3 年内将持续改进。符合相关类型课程基</w:t>
      </w:r>
      <w:r>
        <w:rPr>
          <w:rStyle w:val="11"/>
          <w:rFonts w:hint="eastAsia" w:ascii="仿宋" w:hAnsi="仿宋" w:eastAsia="仿宋" w:cs="仿宋"/>
          <w:b w:val="0"/>
          <w:bCs w:val="0"/>
          <w:i w:val="0"/>
          <w:caps w:val="0"/>
          <w:color w:val="000000"/>
          <w:spacing w:val="0"/>
          <w:w w:val="100"/>
          <w:kern w:val="0"/>
          <w:sz w:val="32"/>
          <w:szCs w:val="32"/>
          <w:lang w:val="en-US" w:eastAsia="zh-CN" w:bidi="ar-SA"/>
        </w:rPr>
        <w:t xml:space="preserve">本形态和特殊要求的同时，在以下多个方面具备实质性创新，有较大的借鉴和推广价值。 </w:t>
      </w:r>
    </w:p>
    <w:p>
      <w:pPr>
        <w:pageBreakBefore w:val="0"/>
        <w:widowControl/>
        <w:numPr>
          <w:ilvl w:val="0"/>
          <w:numId w:val="3"/>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bCs w:val="0"/>
          <w:i w:val="0"/>
          <w:caps w:val="0"/>
          <w:color w:val="000000"/>
          <w:spacing w:val="0"/>
          <w:w w:val="100"/>
          <w:kern w:val="0"/>
          <w:sz w:val="32"/>
          <w:szCs w:val="32"/>
          <w:lang w:val="en-US" w:eastAsia="zh-CN" w:bidi="ar-SA"/>
        </w:rPr>
        <w:t>通过课程建设，线上课程在项目结项时需达到优质课程在线开放课程标准（见表1），或达到省级精品在线开放课程标准。</w:t>
      </w:r>
    </w:p>
    <w:p>
      <w:pPr>
        <w:pageBreakBefore w:val="0"/>
        <w:widowControl/>
        <w:numPr>
          <w:ilvl w:val="0"/>
          <w:numId w:val="3"/>
        </w:numPr>
        <w:kinsoku/>
        <w:wordWrap/>
        <w:overflowPunct/>
        <w:topLinePunct w:val="0"/>
        <w:autoSpaceDE/>
        <w:autoSpaceDN/>
        <w:bidi w:val="0"/>
        <w:adjustRightInd/>
        <w:snapToGrid/>
        <w:spacing w:beforeAutospacing="0" w:after="0" w:afterAutospacing="0" w:line="240" w:lineRule="auto"/>
        <w:ind w:firstLine="640" w:firstLineChars="200"/>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r>
        <w:rPr>
          <w:rStyle w:val="11"/>
          <w:rFonts w:hint="eastAsia" w:ascii="仿宋" w:hAnsi="仿宋" w:eastAsia="仿宋" w:cs="仿宋"/>
          <w:b w:val="0"/>
          <w:bCs w:val="0"/>
          <w:i w:val="0"/>
          <w:caps w:val="0"/>
          <w:color w:val="000000"/>
          <w:spacing w:val="0"/>
          <w:w w:val="100"/>
          <w:kern w:val="0"/>
          <w:sz w:val="32"/>
          <w:szCs w:val="32"/>
          <w:lang w:val="en-US" w:eastAsia="zh-CN" w:bidi="ar-SA"/>
        </w:rPr>
        <w:t>线下课程结项时，须达到以下结题验收标准（见表2）。</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640" w:firstLineChars="200"/>
        <w:jc w:val="left"/>
        <w:textAlignment w:val="baseline"/>
        <w:rPr>
          <w:rStyle w:val="11"/>
          <w:rFonts w:ascii="仿宋" w:hAnsi="仿宋" w:eastAsia="仿宋"/>
          <w:b w:val="0"/>
          <w:i w:val="0"/>
          <w:caps w:val="0"/>
          <w:color w:val="000000"/>
          <w:spacing w:val="0"/>
          <w:w w:val="100"/>
          <w:kern w:val="0"/>
          <w:sz w:val="32"/>
          <w:szCs w:val="32"/>
          <w:lang w:val="en-US" w:eastAsia="zh-CN" w:bidi="ar-SA"/>
        </w:rPr>
      </w:pPr>
      <w:r>
        <w:rPr>
          <w:rStyle w:val="11"/>
          <w:rFonts w:ascii="仿宋" w:hAnsi="仿宋" w:eastAsia="仿宋" w:cs="宋体"/>
          <w:b w:val="0"/>
          <w:bCs/>
          <w:i w:val="0"/>
          <w:caps w:val="0"/>
          <w:color w:val="000000"/>
          <w:spacing w:val="0"/>
          <w:w w:val="100"/>
          <w:kern w:val="0"/>
          <w:sz w:val="32"/>
          <w:szCs w:val="32"/>
          <w:lang w:val="en-US" w:eastAsia="zh-CN" w:bidi="ar-SA"/>
        </w:rPr>
        <w:t>3、</w:t>
      </w:r>
      <w:r>
        <w:rPr>
          <w:rStyle w:val="11"/>
          <w:rFonts w:ascii="仿宋" w:hAnsi="仿宋" w:eastAsia="仿宋"/>
          <w:b w:val="0"/>
          <w:i w:val="0"/>
          <w:caps w:val="0"/>
          <w:color w:val="000000"/>
          <w:spacing w:val="0"/>
          <w:w w:val="100"/>
          <w:kern w:val="0"/>
          <w:sz w:val="32"/>
          <w:szCs w:val="32"/>
          <w:lang w:val="en-US" w:eastAsia="zh-CN" w:bidi="ar-SA"/>
        </w:rPr>
        <w:t>课程思政示范课程项目结题考核</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left"/>
        <w:textAlignment w:val="baseline"/>
        <w:rPr>
          <w:rStyle w:val="11"/>
          <w:rFonts w:ascii="仿宋" w:hAnsi="仿宋" w:eastAsia="仿宋"/>
          <w:b w:val="0"/>
          <w:i w:val="0"/>
          <w:caps w:val="0"/>
          <w:color w:val="000000"/>
          <w:spacing w:val="0"/>
          <w:w w:val="100"/>
          <w:kern w:val="0"/>
          <w:sz w:val="32"/>
          <w:szCs w:val="32"/>
          <w:lang w:val="en-US" w:eastAsia="zh-CN" w:bidi="ar-SA"/>
        </w:rPr>
      </w:pPr>
      <w:r>
        <w:rPr>
          <w:rStyle w:val="11"/>
          <w:rFonts w:ascii="仿宋" w:hAnsi="仿宋" w:eastAsia="仿宋"/>
          <w:b w:val="0"/>
          <w:i w:val="0"/>
          <w:caps w:val="0"/>
          <w:color w:val="000000"/>
          <w:spacing w:val="0"/>
          <w:w w:val="100"/>
          <w:kern w:val="0"/>
          <w:sz w:val="32"/>
          <w:szCs w:val="32"/>
          <w:lang w:val="en-US" w:eastAsia="zh-CN" w:bidi="ar-SA"/>
        </w:rPr>
        <w:t>（1）形成一套课程思政的教学文件。每门课程应完成体现“课程思政”改革思路的课程教学大纲、教案等教学文件。</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left"/>
        <w:textAlignment w:val="baseline"/>
        <w:rPr>
          <w:rStyle w:val="11"/>
          <w:rFonts w:ascii="仿宋" w:hAnsi="仿宋" w:eastAsia="仿宋"/>
          <w:b w:val="0"/>
          <w:i w:val="0"/>
          <w:caps w:val="0"/>
          <w:color w:val="000000"/>
          <w:spacing w:val="0"/>
          <w:w w:val="100"/>
          <w:kern w:val="0"/>
          <w:sz w:val="32"/>
          <w:szCs w:val="32"/>
          <w:lang w:val="en-US" w:eastAsia="zh-CN" w:bidi="ar-SA"/>
        </w:rPr>
      </w:pPr>
      <w:r>
        <w:rPr>
          <w:rStyle w:val="11"/>
          <w:rFonts w:ascii="仿宋" w:hAnsi="仿宋" w:eastAsia="仿宋"/>
          <w:b w:val="0"/>
          <w:i w:val="0"/>
          <w:caps w:val="0"/>
          <w:color w:val="000000"/>
          <w:spacing w:val="0"/>
          <w:w w:val="100"/>
          <w:kern w:val="0"/>
          <w:sz w:val="32"/>
          <w:szCs w:val="32"/>
          <w:lang w:val="en-US" w:eastAsia="zh-CN" w:bidi="ar-SA"/>
        </w:rPr>
        <w:t>（2）完成一组课程思政教学素材库。每门课程应对项目建设过程中的优秀案例、言传身教的有效做法、课外关心关爱学生的活动、课程的有效设计与实施成果进行总结凝练，形成素材库，供全校教师学习借鉴。完成1节“示范教学视频”（主讲教师原则上为课程负责人）及教学设计详案，开展3节“公开课”教学展示。</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left"/>
        <w:textAlignment w:val="baseline"/>
        <w:rPr>
          <w:rStyle w:val="11"/>
          <w:rFonts w:ascii="仿宋" w:hAnsi="仿宋" w:eastAsia="仿宋"/>
          <w:b w:val="0"/>
          <w:i w:val="0"/>
          <w:caps w:val="0"/>
          <w:color w:val="000000"/>
          <w:spacing w:val="0"/>
          <w:w w:val="100"/>
          <w:kern w:val="0"/>
          <w:sz w:val="32"/>
          <w:szCs w:val="32"/>
          <w:lang w:val="en-US" w:eastAsia="zh-CN" w:bidi="ar-SA"/>
        </w:rPr>
      </w:pPr>
      <w:r>
        <w:rPr>
          <w:rStyle w:val="11"/>
          <w:rFonts w:ascii="仿宋" w:hAnsi="仿宋" w:eastAsia="仿宋"/>
          <w:b w:val="0"/>
          <w:i w:val="0"/>
          <w:caps w:val="0"/>
          <w:color w:val="000000"/>
          <w:spacing w:val="0"/>
          <w:w w:val="100"/>
          <w:kern w:val="0"/>
          <w:sz w:val="32"/>
          <w:szCs w:val="32"/>
          <w:lang w:val="en-US" w:eastAsia="zh-CN" w:bidi="ar-SA"/>
        </w:rPr>
        <w:t>（3）完成课程思政育人教学效果评价。对标《高等学校课程思政建设指导纲要》、国家一流课程建设标准，每门课程应根据课程性质、授课内容和教学过程等，完成本门课程思政育人的教学效果评价。</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left"/>
        <w:textAlignment w:val="baseline"/>
        <w:rPr>
          <w:rStyle w:val="11"/>
          <w:rFonts w:ascii="仿宋" w:hAnsi="仿宋" w:eastAsia="仿宋" w:cs="宋体"/>
          <w:b w:val="0"/>
          <w:bCs/>
          <w:i w:val="0"/>
          <w:caps w:val="0"/>
          <w:color w:val="000000"/>
          <w:spacing w:val="0"/>
          <w:w w:val="100"/>
          <w:kern w:val="0"/>
          <w:sz w:val="32"/>
          <w:szCs w:val="32"/>
          <w:lang w:val="en-US" w:eastAsia="zh-CN" w:bidi="ar-SA"/>
        </w:rPr>
      </w:pPr>
    </w:p>
    <w:p>
      <w:pPr>
        <w:keepNext w:val="0"/>
        <w:keepLines w:val="0"/>
        <w:pageBreakBefore w:val="0"/>
        <w:widowControl/>
        <w:numPr>
          <w:numId w:val="0"/>
        </w:numPr>
        <w:kinsoku/>
        <w:wordWrap/>
        <w:overflowPunct/>
        <w:topLinePunct w:val="0"/>
        <w:autoSpaceDE/>
        <w:autoSpaceDN/>
        <w:bidi w:val="0"/>
        <w:adjustRightInd/>
        <w:snapToGrid/>
        <w:spacing w:beforeAutospacing="0" w:after="0" w:afterAutospacing="0" w:line="240" w:lineRule="auto"/>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p>
    <w:p>
      <w:pPr>
        <w:keepNext w:val="0"/>
        <w:keepLines w:val="0"/>
        <w:pageBreakBefore w:val="0"/>
        <w:widowControl/>
        <w:numPr>
          <w:numId w:val="0"/>
        </w:numPr>
        <w:kinsoku/>
        <w:wordWrap/>
        <w:overflowPunct/>
        <w:topLinePunct w:val="0"/>
        <w:autoSpaceDE/>
        <w:autoSpaceDN/>
        <w:bidi w:val="0"/>
        <w:adjustRightInd/>
        <w:snapToGrid/>
        <w:spacing w:beforeAutospacing="0" w:after="0" w:afterAutospacing="0" w:line="240" w:lineRule="auto"/>
        <w:jc w:val="left"/>
        <w:textAlignment w:val="baseline"/>
        <w:rPr>
          <w:rStyle w:val="11"/>
          <w:rFonts w:hint="eastAsia" w:ascii="仿宋" w:hAnsi="仿宋" w:eastAsia="仿宋" w:cs="仿宋"/>
          <w:b w:val="0"/>
          <w:bCs w:val="0"/>
          <w:i w:val="0"/>
          <w:caps w:val="0"/>
          <w:color w:val="000000"/>
          <w:spacing w:val="0"/>
          <w:w w:val="100"/>
          <w:kern w:val="0"/>
          <w:sz w:val="32"/>
          <w:szCs w:val="32"/>
          <w:lang w:val="en-US" w:eastAsia="zh-CN" w:bidi="ar-SA"/>
        </w:rPr>
      </w:pPr>
    </w:p>
    <w:p>
      <w:pPr>
        <w:pageBreakBefore w:val="0"/>
        <w:widowControl/>
        <w:kinsoku/>
        <w:wordWrap/>
        <w:overflowPunct/>
        <w:topLinePunct w:val="0"/>
        <w:autoSpaceDE/>
        <w:autoSpaceDN/>
        <w:bidi w:val="0"/>
        <w:adjustRightInd/>
        <w:snapToGrid w:val="0"/>
        <w:spacing w:beforeAutospacing="0" w:after="0" w:afterAutospacing="0" w:line="240" w:lineRule="auto"/>
        <w:jc w:val="center"/>
        <w:textAlignment w:val="baseline"/>
        <w:rPr>
          <w:rStyle w:val="11"/>
          <w:rFonts w:ascii="仿宋" w:hAnsi="仿宋" w:eastAsia="仿宋"/>
          <w:b w:val="0"/>
          <w:i w:val="0"/>
          <w:caps w:val="0"/>
          <w:color w:val="000000"/>
          <w:spacing w:val="0"/>
          <w:w w:val="100"/>
          <w:kern w:val="0"/>
          <w:sz w:val="24"/>
          <w:szCs w:val="24"/>
          <w:lang w:val="en-US" w:eastAsia="zh-CN" w:bidi="ar-SA"/>
        </w:rPr>
        <w:sectPr>
          <w:headerReference r:id="rId3" w:type="first"/>
          <w:footerReference r:id="rId6" w:type="first"/>
          <w:footerReference r:id="rId4" w:type="default"/>
          <w:footerReference r:id="rId5" w:type="even"/>
          <w:pgSz w:w="11900" w:h="16840"/>
          <w:pgMar w:top="1440" w:right="1800" w:bottom="1440" w:left="1800" w:header="851" w:footer="662" w:gutter="0"/>
          <w:lnNumType w:countBy="0"/>
          <w:pgNumType w:fmt="decimal" w:start="1"/>
          <w:cols w:space="425" w:num="1"/>
          <w:titlePg/>
          <w:vAlign w:val="top"/>
          <w:docGrid w:type="lines" w:linePitch="312" w:charSpace="0"/>
        </w:sectPr>
      </w:pPr>
    </w:p>
    <w:p>
      <w:pPr>
        <w:pageBreakBefore w:val="0"/>
        <w:widowControl/>
        <w:kinsoku/>
        <w:wordWrap/>
        <w:overflowPunct/>
        <w:topLinePunct w:val="0"/>
        <w:autoSpaceDE/>
        <w:autoSpaceDN/>
        <w:bidi w:val="0"/>
        <w:adjustRightInd/>
        <w:snapToGrid w:val="0"/>
        <w:spacing w:beforeAutospacing="0" w:after="0" w:afterAutospacing="0" w:line="240" w:lineRule="auto"/>
        <w:jc w:val="center"/>
        <w:textAlignment w:val="baseline"/>
        <w:rPr>
          <w:rStyle w:val="11"/>
          <w:rFonts w:ascii="仿宋" w:hAnsi="仿宋" w:eastAsia="仿宋"/>
          <w:b w:val="0"/>
          <w:i w:val="0"/>
          <w:caps w:val="0"/>
          <w:color w:val="000000"/>
          <w:spacing w:val="0"/>
          <w:w w:val="100"/>
          <w:kern w:val="0"/>
          <w:sz w:val="24"/>
          <w:szCs w:val="24"/>
          <w:lang w:val="en-US" w:eastAsia="zh-CN" w:bidi="ar-SA"/>
        </w:rPr>
      </w:pPr>
    </w:p>
    <w:p>
      <w:pPr>
        <w:widowControl/>
        <w:snapToGrid w:val="0"/>
        <w:spacing w:before="0" w:beforeAutospacing="0" w:after="0" w:afterAutospacing="0" w:line="360" w:lineRule="auto"/>
        <w:jc w:val="center"/>
        <w:textAlignment w:val="baseline"/>
        <w:rPr>
          <w:rStyle w:val="11"/>
          <w:rFonts w:hint="eastAsia" w:ascii="方正小标宋简体" w:hAnsi="方正小标宋简体" w:eastAsia="方正小标宋简体" w:cs="方正小标宋简体"/>
          <w:b w:val="0"/>
          <w:bCs/>
          <w:i w:val="0"/>
          <w:caps w:val="0"/>
          <w:color w:val="000000"/>
          <w:spacing w:val="0"/>
          <w:w w:val="100"/>
          <w:kern w:val="0"/>
          <w:sz w:val="36"/>
          <w:szCs w:val="36"/>
          <w:lang w:val="en-US" w:eastAsia="zh-CN" w:bidi="ar-SA"/>
        </w:rPr>
      </w:pPr>
      <w:r>
        <w:rPr>
          <w:rStyle w:val="11"/>
          <w:rFonts w:hint="eastAsia" w:ascii="方正小标宋简体" w:hAnsi="方正小标宋简体" w:eastAsia="方正小标宋简体" w:cs="方正小标宋简体"/>
          <w:b w:val="0"/>
          <w:i w:val="0"/>
          <w:caps w:val="0"/>
          <w:color w:val="000000"/>
          <w:spacing w:val="0"/>
          <w:w w:val="100"/>
          <w:kern w:val="0"/>
          <w:sz w:val="36"/>
          <w:szCs w:val="36"/>
          <w:lang w:val="en-US" w:eastAsia="zh-CN" w:bidi="ar-SA"/>
        </w:rPr>
        <w:t>表1: 优质课程</w:t>
      </w:r>
      <w:r>
        <w:rPr>
          <w:rStyle w:val="11"/>
          <w:rFonts w:hint="eastAsia" w:ascii="方正小标宋简体" w:hAnsi="方正小标宋简体" w:eastAsia="方正小标宋简体" w:cs="方正小标宋简体"/>
          <w:b w:val="0"/>
          <w:bCs/>
          <w:i w:val="0"/>
          <w:caps w:val="0"/>
          <w:color w:val="000000"/>
          <w:spacing w:val="0"/>
          <w:w w:val="100"/>
          <w:kern w:val="0"/>
          <w:sz w:val="36"/>
          <w:szCs w:val="36"/>
          <w:lang w:val="en-US" w:eastAsia="zh-CN" w:bidi="ar-SA"/>
        </w:rPr>
        <w:t>在线开放课程结题验收标准</w:t>
      </w:r>
    </w:p>
    <w:tbl>
      <w:tblPr>
        <w:tblStyle w:val="6"/>
        <w:tblW w:w="86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3"/>
        <w:gridCol w:w="1504"/>
        <w:gridCol w:w="57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jc w:val="center"/>
        </w:trPr>
        <w:tc>
          <w:tcPr>
            <w:tcW w:w="1303" w:type="dxa"/>
            <w:tcBorders>
              <w:top w:val="single" w:color="000000" w:sz="12" w:space="0"/>
              <w:left w:val="single" w:color="000000" w:sz="12" w:space="0"/>
              <w:bottom w:val="single" w:color="000000" w:sz="8"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一级指标</w:t>
            </w:r>
          </w:p>
        </w:tc>
        <w:tc>
          <w:tcPr>
            <w:tcW w:w="1504" w:type="dxa"/>
            <w:tcBorders>
              <w:top w:val="single" w:color="000000" w:sz="12" w:space="0"/>
              <w:left w:val="single" w:color="000000" w:sz="4" w:space="0"/>
              <w:bottom w:val="single" w:color="000000" w:sz="8"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二级指标</w:t>
            </w:r>
          </w:p>
        </w:tc>
        <w:tc>
          <w:tcPr>
            <w:tcW w:w="5798" w:type="dxa"/>
            <w:tcBorders>
              <w:top w:val="single" w:color="000000" w:sz="12" w:space="0"/>
              <w:left w:val="single" w:color="000000" w:sz="4" w:space="0"/>
              <w:bottom w:val="single" w:color="000000" w:sz="8" w:space="0"/>
              <w:right w:val="single" w:color="000000" w:sz="12"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评价标准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1" w:hRule="atLeast"/>
          <w:jc w:val="center"/>
        </w:trPr>
        <w:tc>
          <w:tcPr>
            <w:tcW w:w="1303" w:type="dxa"/>
            <w:vMerge w:val="restart"/>
            <w:tcBorders>
              <w:top w:val="single" w:color="000000" w:sz="8" w:space="0"/>
              <w:left w:val="single" w:color="000000" w:sz="12"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课程建设</w:t>
            </w:r>
          </w:p>
        </w:tc>
        <w:tc>
          <w:tcPr>
            <w:tcW w:w="1504" w:type="dxa"/>
            <w:tcBorders>
              <w:top w:val="single" w:color="000000" w:sz="8"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视频资源</w:t>
            </w:r>
          </w:p>
        </w:tc>
        <w:tc>
          <w:tcPr>
            <w:tcW w:w="5798" w:type="dxa"/>
            <w:tcBorders>
              <w:top w:val="single" w:color="000000" w:sz="8" w:space="0"/>
              <w:left w:val="single" w:color="000000" w:sz="4" w:space="0"/>
              <w:bottom w:val="single" w:color="000000" w:sz="4" w:space="0"/>
              <w:right w:val="single" w:color="000000" w:sz="12"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1.视频内容：课程视频内容包含课程教学大纲完整章节内容，教学内容科学、准确，弘扬社会主义核心价值观；</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2.视频时长：总时长原则上≥480分钟；</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3.技术规范：参照《安徽省MOOC示范项目课程建设规范及标准》执行；</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4.知识产权：无侵权行为。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1" w:hRule="atLeast"/>
          <w:jc w:val="center"/>
        </w:trPr>
        <w:tc>
          <w:tcPr>
            <w:tcW w:w="1303" w:type="dxa"/>
            <w:vMerge w:val="continue"/>
            <w:tcBorders>
              <w:top w:val="single" w:color="000000" w:sz="4" w:space="0"/>
              <w:left w:val="single" w:color="000000" w:sz="12" w:space="0"/>
              <w:bottom w:val="single" w:color="000000" w:sz="8" w:space="0"/>
              <w:right w:val="single" w:color="000000" w:sz="4" w:space="0"/>
            </w:tcBorders>
            <w:vAlign w:val="top"/>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p>
        </w:tc>
        <w:tc>
          <w:tcPr>
            <w:tcW w:w="1504" w:type="dxa"/>
            <w:tcBorders>
              <w:top w:val="single" w:color="000000" w:sz="4" w:space="0"/>
              <w:left w:val="single" w:color="000000" w:sz="4" w:space="0"/>
              <w:bottom w:val="single" w:color="000000" w:sz="8"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非视频资源</w:t>
            </w:r>
          </w:p>
        </w:tc>
        <w:tc>
          <w:tcPr>
            <w:tcW w:w="5798" w:type="dxa"/>
            <w:tcBorders>
              <w:top w:val="single" w:color="000000" w:sz="4" w:space="0"/>
              <w:left w:val="single" w:color="000000" w:sz="4" w:space="0"/>
              <w:bottom w:val="single" w:color="000000" w:sz="8" w:space="0"/>
              <w:right w:val="single" w:color="000000" w:sz="12"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1.完备性：包含课程介绍、课程公告、教学大纲、课件、参考资料、讨论、测试和作业、考试等；</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2.资源数量：非视频资源数量原则上≥50个/周期；</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3.技术规范：参照《安徽省MOOC示范项目课程建设规范及标准》执行；</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4.知识产权：无侵权行为。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1303" w:type="dxa"/>
            <w:vMerge w:val="restart"/>
            <w:tcBorders>
              <w:top w:val="single" w:color="000000" w:sz="8" w:space="0"/>
              <w:left w:val="single" w:color="000000" w:sz="12"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课程应用</w:t>
            </w:r>
          </w:p>
        </w:tc>
        <w:tc>
          <w:tcPr>
            <w:tcW w:w="1504" w:type="dxa"/>
            <w:tcBorders>
              <w:top w:val="single" w:color="000000" w:sz="8"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运行平台</w:t>
            </w:r>
          </w:p>
        </w:tc>
        <w:tc>
          <w:tcPr>
            <w:tcW w:w="5798" w:type="dxa"/>
            <w:tcBorders>
              <w:top w:val="single" w:color="000000" w:sz="8" w:space="0"/>
              <w:left w:val="single" w:color="000000" w:sz="4" w:space="0"/>
              <w:bottom w:val="single" w:color="000000" w:sz="4" w:space="0"/>
              <w:right w:val="single" w:color="000000" w:sz="12"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FF"/>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在学校网站（或国内主流网络）课程平台上线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7" w:hRule="atLeast"/>
          <w:jc w:val="center"/>
        </w:trPr>
        <w:tc>
          <w:tcPr>
            <w:tcW w:w="1303" w:type="dxa"/>
            <w:vMerge w:val="continue"/>
            <w:tcBorders>
              <w:top w:val="single" w:color="000000" w:sz="4" w:space="0"/>
              <w:left w:val="single" w:color="000000" w:sz="12" w:space="0"/>
              <w:bottom w:val="single" w:color="000000" w:sz="4" w:space="0"/>
              <w:right w:val="single" w:color="000000" w:sz="4" w:space="0"/>
            </w:tcBorders>
            <w:vAlign w:val="top"/>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p>
        </w:tc>
        <w:tc>
          <w:tcPr>
            <w:tcW w:w="1504"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教学活动与指导</w:t>
            </w:r>
          </w:p>
        </w:tc>
        <w:tc>
          <w:tcPr>
            <w:tcW w:w="5798" w:type="dxa"/>
            <w:tcBorders>
              <w:top w:val="single" w:color="000000" w:sz="4" w:space="0"/>
              <w:left w:val="single" w:color="000000" w:sz="4" w:space="0"/>
              <w:bottom w:val="single" w:color="000000" w:sz="4" w:space="0"/>
              <w:right w:val="single" w:color="000000" w:sz="12"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w:t>
            </w:r>
            <w:r>
              <w:rPr>
                <w:rStyle w:val="11"/>
                <w:rFonts w:ascii="仿宋" w:hAnsi="仿宋" w:eastAsia="仿宋"/>
                <w:b/>
                <w:i w:val="0"/>
                <w:caps w:val="0"/>
                <w:color w:val="000000"/>
                <w:spacing w:val="0"/>
                <w:w w:val="100"/>
                <w:kern w:val="2"/>
                <w:sz w:val="24"/>
                <w:szCs w:val="24"/>
                <w:lang w:val="en-US" w:eastAsia="zh-CN" w:bidi="ar-SA"/>
              </w:rPr>
              <w:t>一个教学周期</w:t>
            </w:r>
            <w:r>
              <w:rPr>
                <w:rStyle w:val="11"/>
                <w:rFonts w:ascii="仿宋" w:hAnsi="仿宋" w:eastAsia="仿宋"/>
                <w:b w:val="0"/>
                <w:i w:val="0"/>
                <w:caps w:val="0"/>
                <w:color w:val="000000"/>
                <w:spacing w:val="0"/>
                <w:w w:val="100"/>
                <w:kern w:val="2"/>
                <w:sz w:val="24"/>
                <w:szCs w:val="24"/>
                <w:lang w:val="en-US" w:eastAsia="zh-CN" w:bidi="ar-SA"/>
              </w:rPr>
              <w:t>内，课程数据原则上应满足如下要求：</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1.</w:t>
            </w:r>
            <w:r>
              <w:rPr>
                <w:rStyle w:val="11"/>
                <w:rFonts w:ascii="仿宋" w:hAnsi="仿宋" w:eastAsia="仿宋"/>
                <w:b/>
                <w:i w:val="0"/>
                <w:caps w:val="0"/>
                <w:color w:val="000000"/>
                <w:spacing w:val="0"/>
                <w:w w:val="100"/>
                <w:kern w:val="2"/>
                <w:sz w:val="24"/>
                <w:szCs w:val="24"/>
                <w:lang w:val="en-US" w:eastAsia="zh-CN" w:bidi="ar-SA"/>
              </w:rPr>
              <w:t>课程公告：</w:t>
            </w:r>
            <w:r>
              <w:rPr>
                <w:rStyle w:val="11"/>
                <w:rFonts w:ascii="仿宋" w:hAnsi="仿宋" w:eastAsia="仿宋"/>
                <w:b w:val="0"/>
                <w:i w:val="0"/>
                <w:caps w:val="0"/>
                <w:color w:val="000000"/>
                <w:spacing w:val="0"/>
                <w:w w:val="100"/>
                <w:kern w:val="2"/>
                <w:sz w:val="24"/>
                <w:szCs w:val="24"/>
                <w:lang w:val="en-US" w:eastAsia="zh-CN" w:bidi="ar-SA"/>
              </w:rPr>
              <w:t>次数≥10次；</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2.</w:t>
            </w:r>
            <w:r>
              <w:rPr>
                <w:rStyle w:val="11"/>
                <w:rFonts w:ascii="仿宋" w:hAnsi="仿宋" w:eastAsia="仿宋"/>
                <w:b/>
                <w:i w:val="0"/>
                <w:caps w:val="0"/>
                <w:color w:val="000000"/>
                <w:spacing w:val="0"/>
                <w:w w:val="100"/>
                <w:kern w:val="2"/>
                <w:sz w:val="24"/>
                <w:szCs w:val="24"/>
                <w:lang w:val="en-US" w:eastAsia="zh-CN" w:bidi="ar-SA"/>
              </w:rPr>
              <w:t>测验和作业</w:t>
            </w:r>
            <w:r>
              <w:rPr>
                <w:rStyle w:val="11"/>
                <w:rFonts w:ascii="仿宋" w:hAnsi="仿宋" w:eastAsia="仿宋"/>
                <w:b w:val="0"/>
                <w:i w:val="0"/>
                <w:caps w:val="0"/>
                <w:color w:val="000000"/>
                <w:spacing w:val="0"/>
                <w:w w:val="100"/>
                <w:kern w:val="2"/>
                <w:sz w:val="24"/>
                <w:szCs w:val="24"/>
                <w:lang w:val="en-US" w:eastAsia="zh-CN" w:bidi="ar-SA"/>
              </w:rPr>
              <w:t>：总次数≥30次，总参与人次≥1000人；</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3.</w:t>
            </w:r>
            <w:r>
              <w:rPr>
                <w:rStyle w:val="11"/>
                <w:rFonts w:ascii="仿宋" w:hAnsi="仿宋" w:eastAsia="仿宋"/>
                <w:b/>
                <w:i w:val="0"/>
                <w:caps w:val="0"/>
                <w:color w:val="000000"/>
                <w:spacing w:val="0"/>
                <w:w w:val="100"/>
                <w:kern w:val="2"/>
                <w:sz w:val="24"/>
                <w:szCs w:val="24"/>
                <w:lang w:val="en-US" w:eastAsia="zh-CN" w:bidi="ar-SA"/>
              </w:rPr>
              <w:t>互动与讨论</w:t>
            </w:r>
            <w:r>
              <w:rPr>
                <w:rStyle w:val="11"/>
                <w:rFonts w:ascii="仿宋" w:hAnsi="仿宋" w:eastAsia="仿宋"/>
                <w:b w:val="0"/>
                <w:i w:val="0"/>
                <w:caps w:val="0"/>
                <w:color w:val="000000"/>
                <w:spacing w:val="0"/>
                <w:w w:val="100"/>
                <w:kern w:val="2"/>
                <w:sz w:val="24"/>
                <w:szCs w:val="24"/>
                <w:lang w:val="en-US" w:eastAsia="zh-CN" w:bidi="ar-SA"/>
              </w:rPr>
              <w:t>：教师发帖数≥30帖，发帖总数≥100帖，总参与人次≥400人；</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4.</w:t>
            </w:r>
            <w:r>
              <w:rPr>
                <w:rStyle w:val="11"/>
                <w:rFonts w:ascii="仿宋" w:hAnsi="仿宋" w:eastAsia="仿宋"/>
                <w:b/>
                <w:i w:val="0"/>
                <w:caps w:val="0"/>
                <w:color w:val="000000"/>
                <w:spacing w:val="0"/>
                <w:w w:val="100"/>
                <w:kern w:val="2"/>
                <w:sz w:val="24"/>
                <w:szCs w:val="24"/>
                <w:lang w:val="en-US" w:eastAsia="zh-CN" w:bidi="ar-SA"/>
              </w:rPr>
              <w:t>考试</w:t>
            </w:r>
            <w:r>
              <w:rPr>
                <w:rStyle w:val="11"/>
                <w:rFonts w:ascii="仿宋" w:hAnsi="仿宋" w:eastAsia="仿宋"/>
                <w:b w:val="0"/>
                <w:i w:val="0"/>
                <w:caps w:val="0"/>
                <w:color w:val="000000"/>
                <w:spacing w:val="0"/>
                <w:w w:val="100"/>
                <w:kern w:val="2"/>
                <w:sz w:val="24"/>
                <w:szCs w:val="24"/>
                <w:lang w:val="en-US" w:eastAsia="zh-CN" w:bidi="ar-SA"/>
              </w:rPr>
              <w:t>：次数≥1次，总参与人次≥200人。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3" w:hRule="atLeast"/>
          <w:jc w:val="center"/>
        </w:trPr>
        <w:tc>
          <w:tcPr>
            <w:tcW w:w="1303" w:type="dxa"/>
            <w:vMerge w:val="continue"/>
            <w:tcBorders>
              <w:top w:val="single" w:color="000000" w:sz="4" w:space="0"/>
              <w:left w:val="single" w:color="000000" w:sz="12" w:space="0"/>
              <w:bottom w:val="single" w:color="000000" w:sz="12" w:space="0"/>
              <w:right w:val="single" w:color="000000" w:sz="4" w:space="0"/>
            </w:tcBorders>
            <w:vAlign w:val="top"/>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p>
        </w:tc>
        <w:tc>
          <w:tcPr>
            <w:tcW w:w="1504" w:type="dxa"/>
            <w:tcBorders>
              <w:top w:val="single" w:color="000000" w:sz="4" w:space="0"/>
              <w:left w:val="single" w:color="000000" w:sz="4" w:space="0"/>
              <w:bottom w:val="single" w:color="000000" w:sz="12"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教学效果与影响</w:t>
            </w:r>
          </w:p>
        </w:tc>
        <w:tc>
          <w:tcPr>
            <w:tcW w:w="5798" w:type="dxa"/>
            <w:tcBorders>
              <w:top w:val="single" w:color="000000" w:sz="4" w:space="0"/>
              <w:left w:val="single" w:color="000000" w:sz="4" w:space="0"/>
              <w:bottom w:val="single" w:color="000000" w:sz="12" w:space="0"/>
              <w:right w:val="single" w:color="000000" w:sz="12"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课程共享范围广泛，应用模式多样，线上线下应用结合效果较好，能切实提高教学质量，在同类课程中具有一定的影响力。教学效果与影响应满足如下要求：</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1.原则上</w:t>
            </w:r>
            <w:r>
              <w:rPr>
                <w:rStyle w:val="11"/>
                <w:rFonts w:ascii="仿宋" w:hAnsi="仿宋" w:eastAsia="仿宋"/>
                <w:b/>
                <w:i w:val="0"/>
                <w:caps w:val="0"/>
                <w:color w:val="000000"/>
                <w:spacing w:val="0"/>
                <w:w w:val="100"/>
                <w:kern w:val="2"/>
                <w:sz w:val="24"/>
                <w:szCs w:val="24"/>
                <w:lang w:val="en-US" w:eastAsia="zh-CN" w:bidi="ar-SA"/>
              </w:rPr>
              <w:t>学习总人次</w:t>
            </w:r>
            <w:r>
              <w:rPr>
                <w:rStyle w:val="11"/>
                <w:rFonts w:ascii="仿宋" w:hAnsi="仿宋" w:eastAsia="仿宋"/>
                <w:b w:val="0"/>
                <w:i w:val="0"/>
                <w:caps w:val="0"/>
                <w:color w:val="000000"/>
                <w:spacing w:val="0"/>
                <w:w w:val="100"/>
                <w:kern w:val="2"/>
                <w:sz w:val="24"/>
                <w:szCs w:val="24"/>
                <w:lang w:val="en-US" w:eastAsia="zh-CN" w:bidi="ar-SA"/>
              </w:rPr>
              <w:t>≥1000人（多个教学周期累加）；</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2.课程应用模式多样，除在线学习外，还应用于翻转教学、SPOC教学等；</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3.课程共享范围广，除社会学习者外，在别的高校也获得应用。</w:t>
            </w:r>
          </w:p>
        </w:tc>
      </w:tr>
    </w:tbl>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360" w:lineRule="auto"/>
        <w:jc w:val="center"/>
        <w:textAlignment w:val="baseline"/>
        <w:rPr>
          <w:rStyle w:val="11"/>
          <w:rFonts w:hint="eastAsia" w:ascii="方正小标宋简体" w:hAnsi="方正小标宋简体" w:eastAsia="方正小标宋简体" w:cs="方正小标宋简体"/>
          <w:b w:val="0"/>
          <w:i w:val="0"/>
          <w:caps w:val="0"/>
          <w:color w:val="000000"/>
          <w:spacing w:val="0"/>
          <w:w w:val="100"/>
          <w:kern w:val="0"/>
          <w:sz w:val="36"/>
          <w:szCs w:val="36"/>
          <w:lang w:val="en-US" w:eastAsia="zh-CN" w:bidi="ar-SA"/>
        </w:rPr>
      </w:pPr>
      <w:r>
        <w:rPr>
          <w:rStyle w:val="11"/>
          <w:rFonts w:hint="eastAsia" w:ascii="方正小标宋简体" w:hAnsi="方正小标宋简体" w:eastAsia="方正小标宋简体" w:cs="方正小标宋简体"/>
          <w:b w:val="0"/>
          <w:i w:val="0"/>
          <w:caps w:val="0"/>
          <w:color w:val="000000"/>
          <w:spacing w:val="0"/>
          <w:w w:val="100"/>
          <w:kern w:val="0"/>
          <w:sz w:val="36"/>
          <w:szCs w:val="36"/>
          <w:lang w:val="en-US" w:eastAsia="zh-CN" w:bidi="ar-SA"/>
        </w:rPr>
        <w:t>表2:优质课程线下课程结题验收标准</w:t>
      </w:r>
    </w:p>
    <w:tbl>
      <w:tblPr>
        <w:tblStyle w:val="6"/>
        <w:tblW w:w="851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8"/>
        <w:gridCol w:w="1800"/>
        <w:gridCol w:w="5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一级指标</w:t>
            </w:r>
          </w:p>
        </w:tc>
        <w:tc>
          <w:tcPr>
            <w:tcW w:w="1800"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二级指标</w:t>
            </w:r>
          </w:p>
        </w:tc>
        <w:tc>
          <w:tcPr>
            <w:tcW w:w="5168"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评价标准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154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课程建设</w:t>
            </w: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非视频资源</w:t>
            </w: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网络平台需有完整教学资料，含课程介绍、课程公告、教学大纲、模块描述、课件、参考资料、讨论、测试、作业、考试等；课程拓展资源，每学分不低于3个。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val="0"/>
                <w:i w:val="0"/>
                <w:caps w:val="0"/>
                <w:color w:val="000000"/>
                <w:spacing w:val="0"/>
                <w:w w:val="100"/>
                <w:kern w:val="2"/>
                <w:sz w:val="32"/>
                <w:szCs w:val="24"/>
                <w:lang w:val="en-US" w:eastAsia="zh-CN" w:bidi="ar-SA"/>
              </w:rPr>
            </w:pP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val="0"/>
                <w:i w:val="0"/>
                <w:caps w:val="0"/>
                <w:color w:val="000000"/>
                <w:spacing w:val="0"/>
                <w:w w:val="100"/>
                <w:kern w:val="2"/>
                <w:sz w:val="32"/>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视频资源</w:t>
            </w: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利用国家级、省级精品课程或自建网络资源，利用网络教学平台，每学分需提供不低于80分钟的视频学习量，供学生自主学习，能通过网络平台检测每位学生学习量及学习效果，并在课堂教学中对学生自主学习部分进行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课程应用</w:t>
            </w: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运行平台</w:t>
            </w: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在学校网站（或国内主流网络）课程平台上线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p>
        </w:tc>
        <w:tc>
          <w:tcPr>
            <w:tcW w:w="1800"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教学时间安排</w:t>
            </w: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每学分对应的教学时间与学生自主学习时间的比例小于1:1。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p>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不减少大纲知识展示量的基础上，增强课堂中与学生的交互性，在技术支持协作下，通过多种方式，每节课不低于10分钟互动时间，提高学生对知识的理解程度。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教学活动与</w:t>
            </w:r>
          </w:p>
          <w:p>
            <w:pPr>
              <w:snapToGrid w:val="0"/>
              <w:spacing w:before="0" w:beforeAutospacing="0" w:after="0" w:afterAutospacing="0" w:line="240" w:lineRule="auto"/>
              <w:jc w:val="center"/>
              <w:textAlignment w:val="baseline"/>
              <w:rPr>
                <w:rStyle w:val="11"/>
                <w:rFonts w:ascii="仿宋" w:hAnsi="仿宋" w:eastAsia="仿宋"/>
                <w:b/>
                <w:i w:val="0"/>
                <w:caps w:val="0"/>
                <w:color w:val="000000"/>
                <w:spacing w:val="0"/>
                <w:w w:val="100"/>
                <w:kern w:val="2"/>
                <w:sz w:val="24"/>
                <w:szCs w:val="24"/>
                <w:lang w:val="en-US" w:eastAsia="zh-CN" w:bidi="ar-SA"/>
              </w:rPr>
            </w:pPr>
            <w:r>
              <w:rPr>
                <w:rStyle w:val="11"/>
                <w:rFonts w:ascii="仿宋" w:hAnsi="仿宋" w:eastAsia="仿宋"/>
                <w:b/>
                <w:i w:val="0"/>
                <w:caps w:val="0"/>
                <w:color w:val="000000"/>
                <w:spacing w:val="0"/>
                <w:w w:val="100"/>
                <w:kern w:val="2"/>
                <w:sz w:val="24"/>
                <w:szCs w:val="24"/>
                <w:lang w:val="en-US" w:eastAsia="zh-CN" w:bidi="ar-SA"/>
              </w:rPr>
              <w:t>学习指导</w:t>
            </w:r>
          </w:p>
        </w:tc>
        <w:tc>
          <w:tcPr>
            <w:tcW w:w="5168"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1.线上线下指导相结合，依托网络平台，完成线上指导；充分发挥学生自主学习，与自我解决的能力，线上鼓励学生之间互相解决问题，线下指导每学分不低于1学时。</w:t>
            </w:r>
          </w:p>
          <w:p>
            <w:pPr>
              <w:snapToGrid w:val="0"/>
              <w:spacing w:before="0" w:beforeAutospacing="0" w:after="0" w:afterAutospacing="0" w:line="240" w:lineRule="auto"/>
              <w:jc w:val="both"/>
              <w:textAlignment w:val="baseline"/>
              <w:rPr>
                <w:rStyle w:val="11"/>
                <w:rFonts w:ascii="仿宋" w:hAnsi="仿宋" w:eastAsia="仿宋"/>
                <w:b w:val="0"/>
                <w:i w:val="0"/>
                <w:caps w:val="0"/>
                <w:color w:val="000000"/>
                <w:spacing w:val="0"/>
                <w:w w:val="100"/>
                <w:kern w:val="2"/>
                <w:sz w:val="24"/>
                <w:szCs w:val="24"/>
                <w:lang w:val="en-US" w:eastAsia="zh-CN" w:bidi="ar-SA"/>
              </w:rPr>
            </w:pPr>
            <w:r>
              <w:rPr>
                <w:rStyle w:val="11"/>
                <w:rFonts w:ascii="仿宋" w:hAnsi="仿宋" w:eastAsia="仿宋"/>
                <w:b w:val="0"/>
                <w:i w:val="0"/>
                <w:caps w:val="0"/>
                <w:color w:val="000000"/>
                <w:spacing w:val="0"/>
                <w:w w:val="100"/>
                <w:kern w:val="2"/>
                <w:sz w:val="24"/>
                <w:szCs w:val="24"/>
                <w:lang w:val="en-US" w:eastAsia="zh-CN" w:bidi="ar-SA"/>
              </w:rPr>
              <w:t>2.互动与讨论：教师发帖数≥20次，发帖总数≥100次，学生参与率≥98%。</w:t>
            </w:r>
          </w:p>
        </w:tc>
      </w:tr>
    </w:tbl>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p>
      <w:pPr>
        <w:widowControl/>
        <w:snapToGrid w:val="0"/>
        <w:spacing w:before="0" w:beforeAutospacing="0" w:after="0" w:afterAutospacing="0" w:line="500" w:lineRule="exact"/>
        <w:jc w:val="left"/>
        <w:textAlignment w:val="baseline"/>
        <w:rPr>
          <w:rStyle w:val="11"/>
          <w:rFonts w:ascii="仿宋" w:hAnsi="仿宋" w:eastAsia="仿宋" w:cs="宋体"/>
          <w:b w:val="0"/>
          <w:bCs/>
          <w:i w:val="0"/>
          <w:caps w:val="0"/>
          <w:color w:val="000000"/>
          <w:spacing w:val="0"/>
          <w:w w:val="100"/>
          <w:kern w:val="0"/>
          <w:sz w:val="28"/>
          <w:szCs w:val="28"/>
          <w:lang w:val="en-US" w:eastAsia="zh-CN" w:bidi="ar-SA"/>
        </w:rPr>
      </w:pPr>
    </w:p>
    <w:sectPr>
      <w:footerReference r:id="rId9" w:type="first"/>
      <w:footerReference r:id="rId7" w:type="default"/>
      <w:footerReference r:id="rId8" w:type="even"/>
      <w:pgSz w:w="11900" w:h="16840"/>
      <w:pgMar w:top="1440" w:right="1800" w:bottom="1440" w:left="1800" w:header="851" w:footer="662" w:gutter="0"/>
      <w:lnNumType w:countBy="0"/>
      <w:pgNumType w:fmt="decimal" w:start="1"/>
      <w:cols w:space="425" w:num="1"/>
      <w:titlePg/>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2"/>
        <w:szCs w:val="20"/>
        <w:lang w:val="en-US" w:eastAsia="zh-CN" w:bidi="ar-SA"/>
      </w:rPr>
    </w:pPr>
    <w:r>
      <w:rPr>
        <w:sz w:val="22"/>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CXKTBvgAQAAuQMAAA4AAAAA&#10;AAAAAQAgAAAAHgEAAGRycy9lMm9Eb2MueG1sUEsFBgAAAAAGAAYAWQEAAHAFAAAAAA==&#10;">
              <v:fill on="f" focussize="0,0"/>
              <v:stroke on="f"/>
              <v:imagedata o:title=""/>
              <o:lock v:ext="edit" aspectratio="f"/>
              <v:textbox inset="0mm,0mm,0mm,0mm" style="mso-fit-shape-to-text:t;">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p>
    <w:pPr>
      <w:pStyle w:val="3"/>
      <w:widowControl/>
      <w:snapToGrid w:val="0"/>
      <w:jc w:val="left"/>
      <w:textAlignment w:val="baseline"/>
      <w:rPr>
        <w:rStyle w:val="11"/>
        <w:rFonts w:eastAsia="仿宋_GB2312"/>
        <w:kern w:val="2"/>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1"/>
        <w:szCs w:val="21"/>
        <w:lang w:val="en-US" w:eastAsia="zh-CN" w:bidi="ar-SA"/>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yG6N44QEAALkDAAAOAAAA&#10;AAAAAAEAIAAAAB4BAABkcnMvZTJvRG9jLnhtbFBLBQYAAAAABgAGAFkBAABxBQAAAAA=&#10;">
              <v:fill on="f" focussize="0,0"/>
              <v:stroke on="f"/>
              <v:imagedata o:title=""/>
              <o:lock v:ext="edit" aspectratio="f"/>
              <v:textbox inset="0mm,0mm,0mm,0mm" style="mso-fit-shape-to-text:t;">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pPr>
      <w:pStyle w:val="3"/>
      <w:widowControl/>
      <w:snapToGrid w:val="0"/>
      <w:jc w:val="left"/>
      <w:textAlignment w:val="baseline"/>
      <w:rPr>
        <w:rStyle w:val="11"/>
        <w:rFonts w:eastAsia="仿宋_GB2312"/>
        <w:kern w:val="2"/>
        <w:sz w:val="18"/>
        <w:szCs w:val="20"/>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0"/>
        <w:szCs w:val="20"/>
        <w:lang w:val="en-US" w:eastAsia="zh-CN" w:bidi="ar-SA"/>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q/lZ4QEAALkDAAAOAAAA&#10;AAAAAAEAIAAAAB4BAABkcnMvZTJvRG9jLnhtbFBLBQYAAAAABgAGAFkBAABxBQAAAAA=&#10;">
              <v:fill on="f" focussize="0,0"/>
              <v:stroke on="f"/>
              <v:imagedata o:title=""/>
              <o:lock v:ext="edit" aspectratio="f"/>
              <v:textbox inset="0mm,0mm,0mm,0mm" style="mso-fit-shape-to-text:t;">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3"/>
      <w:widowControl/>
      <w:snapToGrid w:val="0"/>
      <w:jc w:val="left"/>
      <w:textAlignment w:val="baseline"/>
      <w:rPr>
        <w:rStyle w:val="11"/>
        <w:rFonts w:eastAsia="仿宋_GB2312"/>
        <w:kern w:val="2"/>
        <w:sz w:val="18"/>
        <w:szCs w:val="20"/>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2"/>
        <w:szCs w:val="20"/>
        <w:lang w:val="en-US" w:eastAsia="zh-CN" w:bidi="ar-SA"/>
      </w:rPr>
    </w:pPr>
  </w:p>
  <w:p>
    <w:pPr>
      <w:pStyle w:val="3"/>
      <w:widowControl/>
      <w:snapToGrid w:val="0"/>
      <w:jc w:val="left"/>
      <w:textAlignment w:val="baseline"/>
      <w:rPr>
        <w:rStyle w:val="11"/>
        <w:rFonts w:eastAsia="仿宋_GB2312"/>
        <w:kern w:val="2"/>
        <w:sz w:val="18"/>
        <w:szCs w:val="20"/>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1"/>
        <w:szCs w:val="21"/>
        <w:lang w:val="en-US" w:eastAsia="zh-CN" w:bidi="ar-SA"/>
      </w:rPr>
    </w:pPr>
  </w:p>
  <w:p>
    <w:pPr>
      <w:pStyle w:val="3"/>
      <w:widowControl/>
      <w:snapToGrid w:val="0"/>
      <w:jc w:val="left"/>
      <w:textAlignment w:val="baseline"/>
      <w:rPr>
        <w:rStyle w:val="11"/>
        <w:rFonts w:eastAsia="仿宋_GB2312"/>
        <w:kern w:val="2"/>
        <w:sz w:val="18"/>
        <w:szCs w:val="20"/>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center"/>
      <w:textAlignment w:val="baseline"/>
      <w:rPr>
        <w:rStyle w:val="11"/>
        <w:rFonts w:ascii="仿宋" w:hAnsi="仿宋" w:eastAsia="仿宋"/>
        <w:kern w:val="2"/>
        <w:sz w:val="20"/>
        <w:szCs w:val="20"/>
        <w:lang w:val="en-US" w:eastAsia="zh-CN" w:bidi="ar-SA"/>
      </w:rPr>
    </w:pPr>
  </w:p>
  <w:p>
    <w:pPr>
      <w:pStyle w:val="3"/>
      <w:widowControl/>
      <w:snapToGrid w:val="0"/>
      <w:jc w:val="left"/>
      <w:textAlignment w:val="baseline"/>
      <w:rPr>
        <w:rStyle w:val="11"/>
        <w:rFonts w:eastAsia="仿宋_GB2312"/>
        <w:kern w:val="2"/>
        <w:sz w:val="18"/>
        <w:szCs w:val="20"/>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D69B61"/>
    <w:multiLevelType w:val="singleLevel"/>
    <w:tmpl w:val="ABD69B61"/>
    <w:lvl w:ilvl="0" w:tentative="0">
      <w:start w:val="1"/>
      <w:numFmt w:val="decimal"/>
      <w:suff w:val="nothing"/>
      <w:lvlText w:val="%1、"/>
      <w:lvlJc w:val="left"/>
      <w:pPr>
        <w:widowControl/>
        <w:textAlignment w:val="baseline"/>
      </w:pPr>
      <w:rPr>
        <w:rStyle w:val="11"/>
      </w:rPr>
    </w:lvl>
  </w:abstractNum>
  <w:abstractNum w:abstractNumId="1">
    <w:nsid w:val="2B525544"/>
    <w:multiLevelType w:val="singleLevel"/>
    <w:tmpl w:val="2B525544"/>
    <w:lvl w:ilvl="0" w:tentative="0">
      <w:start w:val="1"/>
      <w:numFmt w:val="decimal"/>
      <w:suff w:val="nothing"/>
      <w:lvlText w:val="%1、"/>
      <w:lvlJc w:val="left"/>
    </w:lvl>
  </w:abstractNum>
  <w:abstractNum w:abstractNumId="2">
    <w:nsid w:val="56165B1C"/>
    <w:multiLevelType w:val="singleLevel"/>
    <w:tmpl w:val="56165B1C"/>
    <w:lvl w:ilvl="0" w:tentative="0">
      <w:start w:val="1"/>
      <w:numFmt w:val="chineseCounting"/>
      <w:suff w:val="nothing"/>
      <w:lvlText w:val="%1、"/>
      <w:lvlJc w:val="left"/>
      <w:pPr>
        <w:widowControl/>
        <w:textAlignment w:val="baseline"/>
      </w:pPr>
      <w:rPr>
        <w:rStyle w:val="11"/>
      </w:r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